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B17AA" w14:textId="7D71232C" w:rsidR="00846DEA" w:rsidRDefault="00BE526B" w:rsidP="000243EC">
      <w:pPr>
        <w:spacing w:before="66"/>
        <w:ind w:left="-142" w:right="-164"/>
        <w:jc w:val="center"/>
        <w:rPr>
          <w:b/>
          <w:sz w:val="36"/>
          <w:szCs w:val="36"/>
        </w:rPr>
      </w:pPr>
      <w:r w:rsidRPr="00525DCB">
        <w:rPr>
          <w:b/>
          <w:noProof/>
          <w:sz w:val="36"/>
          <w:szCs w:val="36"/>
        </w:rPr>
        <w:drawing>
          <wp:inline distT="0" distB="0" distL="0" distR="0" wp14:anchorId="785F5CAC" wp14:editId="7D731EE7">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34C7C1EE" w14:textId="77777777" w:rsidR="00846DEA" w:rsidRDefault="00846DEA" w:rsidP="000243EC">
      <w:pPr>
        <w:spacing w:before="66"/>
        <w:ind w:left="-142" w:right="-164"/>
        <w:jc w:val="center"/>
        <w:rPr>
          <w:rFonts w:ascii="Verdana" w:hAnsi="Verdana"/>
          <w:b/>
          <w:sz w:val="28"/>
          <w:szCs w:val="36"/>
        </w:rPr>
      </w:pPr>
    </w:p>
    <w:p w14:paraId="6E6793E3" w14:textId="7C52ECEE" w:rsidR="00846DEA" w:rsidRDefault="00BE526B" w:rsidP="000243EC">
      <w:pPr>
        <w:tabs>
          <w:tab w:val="left" w:pos="3570"/>
        </w:tabs>
        <w:spacing w:before="66"/>
        <w:ind w:left="-142" w:right="-164"/>
        <w:jc w:val="center"/>
        <w:rPr>
          <w:b/>
          <w:sz w:val="36"/>
          <w:szCs w:val="36"/>
        </w:rPr>
      </w:pPr>
      <w:r w:rsidRPr="00525DCB">
        <w:rPr>
          <w:b/>
          <w:noProof/>
          <w:sz w:val="36"/>
          <w:szCs w:val="36"/>
        </w:rPr>
        <w:drawing>
          <wp:inline distT="0" distB="0" distL="0" distR="0" wp14:anchorId="14585535" wp14:editId="1BC997B7">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16A14FCC" w14:textId="77777777" w:rsidR="00846DEA" w:rsidRDefault="00846DEA" w:rsidP="000243EC">
      <w:pPr>
        <w:tabs>
          <w:tab w:val="left" w:pos="3570"/>
        </w:tabs>
        <w:spacing w:before="66"/>
        <w:ind w:left="-142" w:right="-164"/>
        <w:jc w:val="center"/>
        <w:rPr>
          <w:b/>
          <w:sz w:val="36"/>
          <w:szCs w:val="36"/>
        </w:rPr>
      </w:pPr>
    </w:p>
    <w:p w14:paraId="457F00FA" w14:textId="77777777" w:rsidR="00846DEA" w:rsidRPr="00A865F3" w:rsidRDefault="00846DEA" w:rsidP="000243EC">
      <w:pPr>
        <w:spacing w:before="66"/>
        <w:ind w:left="-142" w:right="-164"/>
        <w:jc w:val="center"/>
        <w:rPr>
          <w:rFonts w:ascii="Times New Roman" w:hAnsi="Times New Roman" w:cs="Times New Roman"/>
          <w:b/>
          <w:bCs/>
          <w:u w:val="single"/>
        </w:rPr>
      </w:pPr>
      <w:r w:rsidRPr="00846DEA">
        <w:rPr>
          <w:rFonts w:ascii="Times New Roman" w:hAnsi="Times New Roman" w:cs="Times New Roman"/>
          <w:b/>
          <w:sz w:val="36"/>
          <w:szCs w:val="36"/>
          <w:u w:val="single"/>
        </w:rPr>
        <w:t>Criteria of Making Payments to Non-Executive Directors</w:t>
      </w:r>
    </w:p>
    <w:p w14:paraId="345555AE" w14:textId="77777777" w:rsidR="00846DEA" w:rsidRPr="00A865F3" w:rsidRDefault="00846DEA" w:rsidP="000243EC">
      <w:pPr>
        <w:spacing w:before="66"/>
        <w:ind w:left="-142" w:right="-164"/>
        <w:rPr>
          <w:rFonts w:ascii="Times New Roman" w:hAnsi="Times New Roman" w:cs="Times New Roman"/>
          <w:b/>
          <w:bCs/>
          <w:u w:val="single"/>
        </w:rPr>
      </w:pPr>
      <w:r w:rsidRPr="00D11094">
        <w:rPr>
          <w:rFonts w:ascii="Times New Roman" w:hAnsi="Times New Roman" w:cs="Times New Roman"/>
          <w:b/>
          <w:bCs/>
          <w:u w:val="single"/>
        </w:rPr>
        <w:br w:type="page"/>
      </w:r>
    </w:p>
    <w:p w14:paraId="48C4CC67" w14:textId="77777777" w:rsidR="00733B80" w:rsidRPr="00CE3D11" w:rsidRDefault="00733B80" w:rsidP="000243EC">
      <w:pPr>
        <w:autoSpaceDE w:val="0"/>
        <w:autoSpaceDN w:val="0"/>
        <w:adjustRightInd w:val="0"/>
        <w:spacing w:before="66" w:line="240" w:lineRule="auto"/>
        <w:ind w:left="-142" w:right="-164"/>
        <w:jc w:val="center"/>
        <w:rPr>
          <w:rFonts w:ascii="Times New Roman" w:hAnsi="Times New Roman" w:cs="Times New Roman"/>
          <w:b/>
          <w:bCs/>
          <w:sz w:val="24"/>
        </w:rPr>
      </w:pPr>
      <w:r w:rsidRPr="00CE3D11">
        <w:rPr>
          <w:rFonts w:ascii="Times New Roman" w:hAnsi="Times New Roman" w:cs="Times New Roman"/>
          <w:b/>
          <w:bCs/>
          <w:sz w:val="24"/>
        </w:rPr>
        <w:lastRenderedPageBreak/>
        <w:t>Criteria of Making Payments to Non-Executive Directors</w:t>
      </w:r>
    </w:p>
    <w:p w14:paraId="40E25D3D" w14:textId="77777777" w:rsidR="001F7FE6" w:rsidRPr="00012F67" w:rsidRDefault="001F7FE6" w:rsidP="000243EC">
      <w:pPr>
        <w:autoSpaceDE w:val="0"/>
        <w:autoSpaceDN w:val="0"/>
        <w:adjustRightInd w:val="0"/>
        <w:spacing w:before="66" w:line="240" w:lineRule="auto"/>
        <w:ind w:left="-142" w:right="-164"/>
        <w:jc w:val="both"/>
        <w:rPr>
          <w:rFonts w:ascii="Times New Roman" w:hAnsi="Times New Roman" w:cs="Times New Roman"/>
          <w:b/>
          <w:bCs/>
        </w:rPr>
      </w:pPr>
    </w:p>
    <w:p w14:paraId="471FD47C" w14:textId="77777777" w:rsidR="00846DEA" w:rsidRPr="00846DEA" w:rsidRDefault="00846DEA" w:rsidP="000243EC">
      <w:pPr>
        <w:pStyle w:val="BodyText"/>
        <w:spacing w:before="66" w:after="200"/>
        <w:ind w:left="-142" w:right="-164"/>
        <w:jc w:val="both"/>
        <w:rPr>
          <w:b/>
          <w:sz w:val="22"/>
          <w:szCs w:val="22"/>
        </w:rPr>
      </w:pPr>
      <w:r w:rsidRPr="00846DEA">
        <w:rPr>
          <w:b/>
          <w:sz w:val="22"/>
          <w:szCs w:val="22"/>
        </w:rPr>
        <w:t>BACKGROUN</w:t>
      </w:r>
      <w:r>
        <w:rPr>
          <w:b/>
          <w:sz w:val="22"/>
          <w:szCs w:val="22"/>
        </w:rPr>
        <w:t>D</w:t>
      </w:r>
    </w:p>
    <w:p w14:paraId="2B278565" w14:textId="77777777" w:rsidR="001F7FE6" w:rsidRPr="00012F67" w:rsidRDefault="001F7FE6" w:rsidP="000243EC">
      <w:pPr>
        <w:pStyle w:val="BodyText"/>
        <w:spacing w:before="66" w:after="200"/>
        <w:ind w:left="-142" w:right="-164"/>
        <w:jc w:val="both"/>
        <w:rPr>
          <w:sz w:val="22"/>
          <w:szCs w:val="22"/>
        </w:rPr>
      </w:pPr>
      <w:r w:rsidRPr="00012F67">
        <w:rPr>
          <w:sz w:val="22"/>
          <w:szCs w:val="22"/>
        </w:rPr>
        <w:t xml:space="preserve">With changes in the corporate governance </w:t>
      </w:r>
      <w:r w:rsidR="00012F67" w:rsidRPr="00012F67">
        <w:rPr>
          <w:sz w:val="22"/>
          <w:szCs w:val="22"/>
        </w:rPr>
        <w:t>norms brought</w:t>
      </w:r>
      <w:r w:rsidRPr="00012F67">
        <w:rPr>
          <w:sz w:val="22"/>
          <w:szCs w:val="22"/>
        </w:rPr>
        <w:t xml:space="preserve"> by the Companies Act, 2013 </w:t>
      </w:r>
      <w:r w:rsidR="00846DEA" w:rsidRPr="00846DEA">
        <w:rPr>
          <w:i/>
          <w:sz w:val="22"/>
          <w:szCs w:val="22"/>
        </w:rPr>
        <w:t>(“the Act”)</w:t>
      </w:r>
      <w:r w:rsidR="00846DEA">
        <w:rPr>
          <w:sz w:val="22"/>
          <w:szCs w:val="22"/>
        </w:rPr>
        <w:t xml:space="preserve"> </w:t>
      </w:r>
      <w:r w:rsidR="00012F67" w:rsidRPr="00012F67">
        <w:rPr>
          <w:sz w:val="22"/>
          <w:szCs w:val="22"/>
        </w:rPr>
        <w:t>as well</w:t>
      </w:r>
      <w:r w:rsidRPr="00012F67">
        <w:rPr>
          <w:sz w:val="22"/>
          <w:szCs w:val="22"/>
        </w:rPr>
        <w:t xml:space="preserve"> as Equity Listing Agreement, the role of Non-Executive Directors </w:t>
      </w:r>
      <w:r w:rsidRPr="00846DEA">
        <w:rPr>
          <w:i/>
          <w:sz w:val="22"/>
          <w:szCs w:val="22"/>
        </w:rPr>
        <w:t>(</w:t>
      </w:r>
      <w:r w:rsidR="00846DEA" w:rsidRPr="00846DEA">
        <w:rPr>
          <w:i/>
          <w:sz w:val="22"/>
          <w:szCs w:val="22"/>
        </w:rPr>
        <w:t>“</w:t>
      </w:r>
      <w:r w:rsidRPr="00846DEA">
        <w:rPr>
          <w:i/>
          <w:sz w:val="22"/>
          <w:szCs w:val="22"/>
        </w:rPr>
        <w:t>NED</w:t>
      </w:r>
      <w:r w:rsidR="00846DEA" w:rsidRPr="00846DEA">
        <w:rPr>
          <w:i/>
          <w:sz w:val="22"/>
          <w:szCs w:val="22"/>
        </w:rPr>
        <w:t>”</w:t>
      </w:r>
      <w:r w:rsidRPr="00846DEA">
        <w:rPr>
          <w:i/>
          <w:sz w:val="22"/>
          <w:szCs w:val="22"/>
        </w:rPr>
        <w:t>)</w:t>
      </w:r>
      <w:r w:rsidRPr="00012F67">
        <w:rPr>
          <w:sz w:val="22"/>
          <w:szCs w:val="22"/>
        </w:rPr>
        <w:t xml:space="preserve"> and the degree and quality of their engagement with the Board </w:t>
      </w:r>
      <w:r w:rsidR="00846DEA">
        <w:rPr>
          <w:sz w:val="22"/>
          <w:szCs w:val="22"/>
        </w:rPr>
        <w:t xml:space="preserve">of Directors </w:t>
      </w:r>
      <w:r w:rsidR="00846DEA" w:rsidRPr="00846DEA">
        <w:rPr>
          <w:i/>
          <w:sz w:val="22"/>
          <w:szCs w:val="22"/>
        </w:rPr>
        <w:t xml:space="preserve">(“the </w:t>
      </w:r>
      <w:r w:rsidR="00846DEA">
        <w:rPr>
          <w:i/>
          <w:sz w:val="22"/>
          <w:szCs w:val="22"/>
        </w:rPr>
        <w:t>Board</w:t>
      </w:r>
      <w:r w:rsidR="00846DEA" w:rsidRPr="00846DEA">
        <w:rPr>
          <w:i/>
          <w:sz w:val="22"/>
          <w:szCs w:val="22"/>
        </w:rPr>
        <w:t>”)</w:t>
      </w:r>
      <w:r w:rsidR="00846DEA">
        <w:rPr>
          <w:sz w:val="22"/>
          <w:szCs w:val="22"/>
        </w:rPr>
        <w:t xml:space="preserve"> </w:t>
      </w:r>
      <w:r w:rsidRPr="00012F67">
        <w:rPr>
          <w:sz w:val="22"/>
          <w:szCs w:val="22"/>
        </w:rPr>
        <w:t xml:space="preserve">and the Company has undergone significant changes over a period of time. The Company is being hugely benefited from the expertise, advice and inputs provided </w:t>
      </w:r>
      <w:r w:rsidRPr="00012F67">
        <w:rPr>
          <w:spacing w:val="3"/>
          <w:sz w:val="22"/>
          <w:szCs w:val="22"/>
        </w:rPr>
        <w:t xml:space="preserve">by </w:t>
      </w:r>
      <w:r w:rsidRPr="00012F67">
        <w:rPr>
          <w:sz w:val="22"/>
          <w:szCs w:val="22"/>
        </w:rPr>
        <w:t>the NEDs. They devote their valuable time in deliberating on the strategic and critical issues in the course of the Board and Committee meetings of the Company and give their valuable advice, suggestion and guidance to the management of the Company from time to time. Levels of remuneration to the NEDs are determined such that they attract, retain and motivate directors of the quality and ability required to run the Company</w:t>
      </w:r>
      <w:r w:rsidR="00EB15FF">
        <w:rPr>
          <w:sz w:val="22"/>
          <w:szCs w:val="22"/>
        </w:rPr>
        <w:t xml:space="preserve"> </w:t>
      </w:r>
      <w:r w:rsidRPr="00012F67">
        <w:rPr>
          <w:sz w:val="22"/>
          <w:szCs w:val="22"/>
        </w:rPr>
        <w:t>successfully.</w:t>
      </w:r>
    </w:p>
    <w:p w14:paraId="26354032" w14:textId="77777777" w:rsidR="001F7FE6" w:rsidRPr="00012F67" w:rsidRDefault="001F7FE6" w:rsidP="000243EC">
      <w:pPr>
        <w:pStyle w:val="BodyText"/>
        <w:spacing w:before="66" w:after="200"/>
        <w:ind w:left="-142" w:right="-164"/>
        <w:jc w:val="both"/>
        <w:rPr>
          <w:sz w:val="22"/>
          <w:szCs w:val="22"/>
        </w:rPr>
      </w:pPr>
      <w:r w:rsidRPr="00012F67">
        <w:rPr>
          <w:sz w:val="22"/>
          <w:szCs w:val="22"/>
        </w:rPr>
        <w:t>As per Regulation 46(2) of the SEBI (Listing Obligations &amp; Disclosure Requirements) Regulations, 2015</w:t>
      </w:r>
      <w:r w:rsidR="002C0C34">
        <w:rPr>
          <w:sz w:val="22"/>
          <w:szCs w:val="22"/>
        </w:rPr>
        <w:t xml:space="preserve"> </w:t>
      </w:r>
      <w:r w:rsidR="007F2644" w:rsidRPr="007F2644">
        <w:rPr>
          <w:i/>
          <w:sz w:val="22"/>
          <w:szCs w:val="22"/>
        </w:rPr>
        <w:t>(“Listing Regulation”)</w:t>
      </w:r>
      <w:r w:rsidR="007F2644">
        <w:rPr>
          <w:sz w:val="22"/>
          <w:szCs w:val="22"/>
        </w:rPr>
        <w:t xml:space="preserve"> </w:t>
      </w:r>
      <w:r w:rsidR="001E6FE4">
        <w:rPr>
          <w:sz w:val="22"/>
          <w:szCs w:val="22"/>
        </w:rPr>
        <w:t>l</w:t>
      </w:r>
      <w:r w:rsidRPr="00012F67">
        <w:rPr>
          <w:sz w:val="22"/>
          <w:szCs w:val="22"/>
        </w:rPr>
        <w:t>isted entity shall disseminate following information on the website of the Company:</w:t>
      </w:r>
    </w:p>
    <w:p w14:paraId="63EC8319" w14:textId="77777777" w:rsidR="001F7FE6" w:rsidRPr="001E6FE4" w:rsidRDefault="002C0C34" w:rsidP="000243EC">
      <w:pPr>
        <w:pStyle w:val="BodyText"/>
        <w:spacing w:before="66" w:after="200"/>
        <w:ind w:left="-142" w:right="-164"/>
        <w:jc w:val="both"/>
        <w:rPr>
          <w:b/>
          <w:sz w:val="22"/>
          <w:szCs w:val="22"/>
        </w:rPr>
      </w:pPr>
      <w:r w:rsidRPr="001E6FE4">
        <w:rPr>
          <w:b/>
          <w:sz w:val="22"/>
          <w:szCs w:val="22"/>
        </w:rPr>
        <w:t>CRITERIA OF MAKING PAYM</w:t>
      </w:r>
      <w:r>
        <w:rPr>
          <w:b/>
          <w:sz w:val="22"/>
          <w:szCs w:val="22"/>
        </w:rPr>
        <w:t>ENTS TO NON-EXECUTIVE DIRECTORS</w:t>
      </w:r>
    </w:p>
    <w:p w14:paraId="036E341F" w14:textId="77777777" w:rsidR="001F7FE6" w:rsidRPr="00012F67" w:rsidRDefault="001F7FE6" w:rsidP="000243EC">
      <w:pPr>
        <w:pStyle w:val="BodyText"/>
        <w:spacing w:before="66" w:after="200"/>
        <w:ind w:left="-142" w:right="-164"/>
        <w:jc w:val="both"/>
        <w:rPr>
          <w:sz w:val="22"/>
          <w:szCs w:val="22"/>
        </w:rPr>
      </w:pPr>
      <w:r w:rsidRPr="00012F67">
        <w:rPr>
          <w:sz w:val="22"/>
          <w:szCs w:val="22"/>
        </w:rPr>
        <w:t>In keeping with the above, any fee/</w:t>
      </w:r>
      <w:r w:rsidR="002C0C34">
        <w:rPr>
          <w:sz w:val="22"/>
          <w:szCs w:val="22"/>
        </w:rPr>
        <w:t xml:space="preserve"> </w:t>
      </w:r>
      <w:r w:rsidRPr="00012F67">
        <w:rPr>
          <w:sz w:val="22"/>
          <w:szCs w:val="22"/>
        </w:rPr>
        <w:t>remuneration payable to the NEDs of the Company shall abide by the following:</w:t>
      </w:r>
    </w:p>
    <w:p w14:paraId="35D23B2A" w14:textId="77777777" w:rsidR="001F7FE6" w:rsidRPr="00012F67" w:rsidRDefault="001F7FE6" w:rsidP="000243EC">
      <w:pPr>
        <w:pStyle w:val="Heading1"/>
        <w:widowControl w:val="0"/>
        <w:numPr>
          <w:ilvl w:val="0"/>
          <w:numId w:val="9"/>
        </w:numPr>
        <w:tabs>
          <w:tab w:val="left" w:pos="786"/>
          <w:tab w:val="left" w:pos="787"/>
        </w:tabs>
        <w:autoSpaceDE w:val="0"/>
        <w:autoSpaceDN w:val="0"/>
        <w:spacing w:before="66" w:beforeAutospacing="0" w:after="200" w:afterAutospacing="0"/>
        <w:ind w:left="142" w:right="-164" w:hanging="284"/>
        <w:rPr>
          <w:sz w:val="22"/>
          <w:szCs w:val="22"/>
        </w:rPr>
      </w:pPr>
      <w:r w:rsidRPr="00012F67">
        <w:rPr>
          <w:sz w:val="22"/>
          <w:szCs w:val="22"/>
        </w:rPr>
        <w:t>Sitting</w:t>
      </w:r>
      <w:r w:rsidR="004B4ADF">
        <w:rPr>
          <w:sz w:val="22"/>
          <w:szCs w:val="22"/>
        </w:rPr>
        <w:t xml:space="preserve"> </w:t>
      </w:r>
      <w:r w:rsidRPr="00012F67">
        <w:rPr>
          <w:sz w:val="22"/>
          <w:szCs w:val="22"/>
        </w:rPr>
        <w:t>Fee:</w:t>
      </w:r>
    </w:p>
    <w:p w14:paraId="5D34930C" w14:textId="77777777" w:rsidR="001F7FE6" w:rsidRPr="00012F67" w:rsidRDefault="001F7FE6" w:rsidP="000243EC">
      <w:pPr>
        <w:pStyle w:val="BodyText"/>
        <w:spacing w:before="66" w:after="200"/>
        <w:ind w:left="-142" w:right="-164"/>
        <w:jc w:val="both"/>
        <w:rPr>
          <w:sz w:val="22"/>
          <w:szCs w:val="22"/>
        </w:rPr>
      </w:pPr>
      <w:r w:rsidRPr="00012F67">
        <w:rPr>
          <w:sz w:val="22"/>
          <w:szCs w:val="22"/>
        </w:rPr>
        <w:t xml:space="preserve">Such director(s) may receive remuneration </w:t>
      </w:r>
      <w:r w:rsidRPr="00012F67">
        <w:rPr>
          <w:spacing w:val="3"/>
          <w:sz w:val="22"/>
          <w:szCs w:val="22"/>
        </w:rPr>
        <w:t xml:space="preserve">by </w:t>
      </w:r>
      <w:r w:rsidRPr="00012F67">
        <w:rPr>
          <w:sz w:val="22"/>
          <w:szCs w:val="22"/>
        </w:rPr>
        <w:t xml:space="preserve">way of fee for attending meetings of the Board or Committee thereof or any other meeting as required </w:t>
      </w:r>
      <w:r w:rsidRPr="00012F67">
        <w:rPr>
          <w:spacing w:val="4"/>
          <w:sz w:val="22"/>
          <w:szCs w:val="22"/>
        </w:rPr>
        <w:t xml:space="preserve">by </w:t>
      </w:r>
      <w:r w:rsidRPr="00012F67">
        <w:rPr>
          <w:sz w:val="22"/>
          <w:szCs w:val="22"/>
        </w:rPr>
        <w:t xml:space="preserve">Companies Act, 2013, Equity Listing Agreement or other applicable law or for any other purpose whatsoever as may be decided </w:t>
      </w:r>
      <w:r w:rsidRPr="00012F67">
        <w:rPr>
          <w:spacing w:val="3"/>
          <w:sz w:val="22"/>
          <w:szCs w:val="22"/>
        </w:rPr>
        <w:t xml:space="preserve">by </w:t>
      </w:r>
      <w:r w:rsidRPr="00012F67">
        <w:rPr>
          <w:sz w:val="22"/>
          <w:szCs w:val="22"/>
        </w:rPr>
        <w:t>the</w:t>
      </w:r>
      <w:r w:rsidR="00846DEA">
        <w:rPr>
          <w:sz w:val="22"/>
          <w:szCs w:val="22"/>
        </w:rPr>
        <w:t xml:space="preserve"> </w:t>
      </w:r>
      <w:r w:rsidRPr="00012F67">
        <w:rPr>
          <w:sz w:val="22"/>
          <w:szCs w:val="22"/>
        </w:rPr>
        <w:t>Board;</w:t>
      </w:r>
    </w:p>
    <w:p w14:paraId="44FA1691" w14:textId="77777777" w:rsidR="001F7FE6" w:rsidRPr="00012F67" w:rsidRDefault="002C0C34" w:rsidP="000243EC">
      <w:pPr>
        <w:pStyle w:val="Heading1"/>
        <w:widowControl w:val="0"/>
        <w:numPr>
          <w:ilvl w:val="0"/>
          <w:numId w:val="9"/>
        </w:numPr>
        <w:tabs>
          <w:tab w:val="left" w:pos="786"/>
          <w:tab w:val="left" w:pos="787"/>
        </w:tabs>
        <w:autoSpaceDE w:val="0"/>
        <w:autoSpaceDN w:val="0"/>
        <w:spacing w:before="66" w:beforeAutospacing="0" w:after="200" w:afterAutospacing="0"/>
        <w:ind w:left="142" w:right="-164" w:hanging="284"/>
        <w:rPr>
          <w:sz w:val="22"/>
          <w:szCs w:val="22"/>
        </w:rPr>
      </w:pPr>
      <w:r w:rsidRPr="002C0C34">
        <w:rPr>
          <w:sz w:val="22"/>
          <w:szCs w:val="22"/>
        </w:rPr>
        <w:t>Remuneration</w:t>
      </w:r>
      <w:r w:rsidR="001F7FE6" w:rsidRPr="00012F67">
        <w:rPr>
          <w:sz w:val="22"/>
          <w:szCs w:val="22"/>
        </w:rPr>
        <w:t>:</w:t>
      </w:r>
    </w:p>
    <w:p w14:paraId="49407F09" w14:textId="77777777" w:rsidR="002C0C34" w:rsidRPr="002C0C34" w:rsidRDefault="002C0C34" w:rsidP="000243EC">
      <w:pPr>
        <w:pStyle w:val="BodyText"/>
        <w:spacing w:before="66" w:after="200"/>
        <w:ind w:left="-142" w:right="-164"/>
        <w:jc w:val="both"/>
        <w:rPr>
          <w:sz w:val="22"/>
          <w:szCs w:val="22"/>
        </w:rPr>
      </w:pPr>
      <w:r w:rsidRPr="002C0C34">
        <w:rPr>
          <w:sz w:val="22"/>
          <w:szCs w:val="22"/>
        </w:rPr>
        <w:t xml:space="preserve">Section 197 of the </w:t>
      </w:r>
      <w:r>
        <w:rPr>
          <w:sz w:val="22"/>
          <w:szCs w:val="22"/>
        </w:rPr>
        <w:t>Act,</w:t>
      </w:r>
      <w:r w:rsidRPr="002C0C34">
        <w:rPr>
          <w:sz w:val="22"/>
          <w:szCs w:val="22"/>
        </w:rPr>
        <w:t xml:space="preserve"> allows a Company to pay remuneration (excluding sitting</w:t>
      </w:r>
      <w:r>
        <w:rPr>
          <w:sz w:val="22"/>
          <w:szCs w:val="22"/>
        </w:rPr>
        <w:t xml:space="preserve"> </w:t>
      </w:r>
      <w:r w:rsidRPr="002C0C34">
        <w:rPr>
          <w:sz w:val="22"/>
          <w:szCs w:val="22"/>
        </w:rPr>
        <w:t>fees) to its NEDs either by monthly payment or at a specified percentage of net profits of the</w:t>
      </w:r>
      <w:r>
        <w:rPr>
          <w:sz w:val="22"/>
          <w:szCs w:val="22"/>
        </w:rPr>
        <w:t xml:space="preserve"> </w:t>
      </w:r>
      <w:r w:rsidRPr="002C0C34">
        <w:rPr>
          <w:sz w:val="22"/>
          <w:szCs w:val="22"/>
        </w:rPr>
        <w:t>Company, or partly by one way or partly by other</w:t>
      </w:r>
      <w:r w:rsidR="00FC7B80">
        <w:rPr>
          <w:sz w:val="22"/>
          <w:szCs w:val="22"/>
        </w:rPr>
        <w:t xml:space="preserve"> subject</w:t>
      </w:r>
      <w:r w:rsidR="00FC7B80" w:rsidRPr="00FC7B80">
        <w:t xml:space="preserve"> </w:t>
      </w:r>
      <w:r w:rsidR="00FC7B80" w:rsidRPr="00FC7B80">
        <w:rPr>
          <w:sz w:val="22"/>
          <w:szCs w:val="22"/>
        </w:rPr>
        <w:t>to the prior approval of the shareholders of the Company</w:t>
      </w:r>
      <w:r w:rsidRPr="002C0C34">
        <w:rPr>
          <w:sz w:val="22"/>
          <w:szCs w:val="22"/>
        </w:rPr>
        <w:t>.</w:t>
      </w:r>
    </w:p>
    <w:p w14:paraId="4A564540" w14:textId="77777777" w:rsidR="001F7FE6" w:rsidRPr="00012F67" w:rsidRDefault="002C0C34" w:rsidP="000243EC">
      <w:pPr>
        <w:pStyle w:val="BodyText"/>
        <w:spacing w:before="66" w:after="200"/>
        <w:ind w:left="-142" w:right="-164"/>
        <w:jc w:val="both"/>
        <w:rPr>
          <w:sz w:val="22"/>
          <w:szCs w:val="22"/>
        </w:rPr>
      </w:pPr>
      <w:r w:rsidRPr="002C0C34">
        <w:rPr>
          <w:sz w:val="22"/>
          <w:szCs w:val="22"/>
        </w:rPr>
        <w:t xml:space="preserve">Remuneration referred to above, may be paid to </w:t>
      </w:r>
      <w:r>
        <w:rPr>
          <w:sz w:val="22"/>
          <w:szCs w:val="22"/>
        </w:rPr>
        <w:t>NEDs</w:t>
      </w:r>
      <w:r w:rsidRPr="002C0C34">
        <w:rPr>
          <w:sz w:val="22"/>
          <w:szCs w:val="22"/>
        </w:rPr>
        <w:t xml:space="preserve"> as may be decided by the</w:t>
      </w:r>
      <w:r>
        <w:rPr>
          <w:sz w:val="22"/>
          <w:szCs w:val="22"/>
        </w:rPr>
        <w:t xml:space="preserve"> </w:t>
      </w:r>
      <w:r w:rsidRPr="002C0C34">
        <w:rPr>
          <w:sz w:val="22"/>
          <w:szCs w:val="22"/>
        </w:rPr>
        <w:t>Board of the Company from time to time, depending on the extra time that may be</w:t>
      </w:r>
      <w:r>
        <w:rPr>
          <w:sz w:val="22"/>
          <w:szCs w:val="22"/>
        </w:rPr>
        <w:t xml:space="preserve"> </w:t>
      </w:r>
      <w:r w:rsidRPr="002C0C34">
        <w:rPr>
          <w:sz w:val="22"/>
          <w:szCs w:val="22"/>
        </w:rPr>
        <w:t xml:space="preserve">devoted and contributions made by the </w:t>
      </w:r>
      <w:r>
        <w:rPr>
          <w:sz w:val="22"/>
          <w:szCs w:val="22"/>
        </w:rPr>
        <w:t>NEDs</w:t>
      </w:r>
      <w:r w:rsidRPr="002C0C34">
        <w:rPr>
          <w:sz w:val="22"/>
          <w:szCs w:val="22"/>
        </w:rPr>
        <w:t xml:space="preserve"> to the Company</w:t>
      </w:r>
      <w:r w:rsidR="001F7FE6" w:rsidRPr="00012F67">
        <w:rPr>
          <w:sz w:val="22"/>
          <w:szCs w:val="22"/>
        </w:rPr>
        <w:t>.</w:t>
      </w:r>
    </w:p>
    <w:p w14:paraId="6AAB7EF1" w14:textId="77777777" w:rsidR="001F7FE6" w:rsidRPr="00012F67" w:rsidRDefault="001F7FE6" w:rsidP="000243EC">
      <w:pPr>
        <w:pStyle w:val="Heading1"/>
        <w:widowControl w:val="0"/>
        <w:numPr>
          <w:ilvl w:val="0"/>
          <w:numId w:val="9"/>
        </w:numPr>
        <w:tabs>
          <w:tab w:val="left" w:pos="786"/>
          <w:tab w:val="left" w:pos="787"/>
        </w:tabs>
        <w:autoSpaceDE w:val="0"/>
        <w:autoSpaceDN w:val="0"/>
        <w:spacing w:before="66" w:beforeAutospacing="0" w:after="200" w:afterAutospacing="0"/>
        <w:ind w:left="142" w:right="-164" w:hanging="284"/>
        <w:rPr>
          <w:sz w:val="22"/>
          <w:szCs w:val="22"/>
        </w:rPr>
      </w:pPr>
      <w:r w:rsidRPr="002C0C34">
        <w:rPr>
          <w:sz w:val="22"/>
          <w:szCs w:val="22"/>
        </w:rPr>
        <w:t>Professional</w:t>
      </w:r>
      <w:r w:rsidR="00C24D4A" w:rsidRPr="002C0C34">
        <w:rPr>
          <w:sz w:val="22"/>
          <w:szCs w:val="22"/>
        </w:rPr>
        <w:t xml:space="preserve"> </w:t>
      </w:r>
      <w:r w:rsidRPr="002C0C34">
        <w:rPr>
          <w:sz w:val="22"/>
          <w:szCs w:val="22"/>
        </w:rPr>
        <w:t>Fees</w:t>
      </w:r>
      <w:r w:rsidR="002C0C34" w:rsidRPr="002C0C34">
        <w:rPr>
          <w:sz w:val="22"/>
          <w:szCs w:val="22"/>
        </w:rPr>
        <w:t>:</w:t>
      </w:r>
    </w:p>
    <w:p w14:paraId="5031C375" w14:textId="77777777" w:rsidR="001F7FE6" w:rsidRDefault="002C0C34" w:rsidP="000243EC">
      <w:pPr>
        <w:pStyle w:val="BodyText"/>
        <w:spacing w:before="66" w:after="200"/>
        <w:ind w:left="-142" w:right="-164"/>
        <w:jc w:val="both"/>
        <w:rPr>
          <w:sz w:val="22"/>
          <w:szCs w:val="22"/>
        </w:rPr>
      </w:pPr>
      <w:r w:rsidRPr="002C0C34">
        <w:rPr>
          <w:sz w:val="22"/>
          <w:szCs w:val="22"/>
        </w:rPr>
        <w:t xml:space="preserve">Section 197 of the </w:t>
      </w:r>
      <w:r>
        <w:rPr>
          <w:sz w:val="22"/>
          <w:szCs w:val="22"/>
        </w:rPr>
        <w:t>Act</w:t>
      </w:r>
      <w:r w:rsidRPr="00012F67">
        <w:rPr>
          <w:sz w:val="22"/>
          <w:szCs w:val="22"/>
        </w:rPr>
        <w:t xml:space="preserve"> </w:t>
      </w:r>
      <w:r w:rsidR="001F7FE6" w:rsidRPr="00012F67">
        <w:rPr>
          <w:sz w:val="22"/>
          <w:szCs w:val="22"/>
        </w:rPr>
        <w:t>allows a Company to pay remuneration to its NEDs for services rendered by any such Director if:</w:t>
      </w:r>
    </w:p>
    <w:p w14:paraId="20244C87" w14:textId="77777777" w:rsidR="001F7FE6" w:rsidRPr="00012F67" w:rsidRDefault="001F7FE6" w:rsidP="000243EC">
      <w:pPr>
        <w:pStyle w:val="ListParagraph"/>
        <w:numPr>
          <w:ilvl w:val="1"/>
          <w:numId w:val="8"/>
        </w:numPr>
        <w:tabs>
          <w:tab w:val="left" w:pos="1111"/>
        </w:tabs>
        <w:spacing w:before="66" w:after="200"/>
        <w:ind w:left="284" w:right="-164" w:hanging="361"/>
        <w:jc w:val="both"/>
      </w:pPr>
      <w:r w:rsidRPr="00012F67">
        <w:t xml:space="preserve">The services rendered are of </w:t>
      </w:r>
      <w:r w:rsidR="00FC7B80" w:rsidRPr="00012F67">
        <w:t>professional</w:t>
      </w:r>
      <w:r w:rsidR="00FC7B80">
        <w:t xml:space="preserve"> </w:t>
      </w:r>
      <w:r w:rsidRPr="00012F67">
        <w:t>nature;</w:t>
      </w:r>
    </w:p>
    <w:p w14:paraId="2B989589" w14:textId="77777777" w:rsidR="001F7FE6" w:rsidRPr="00012F67" w:rsidRDefault="001F7FE6" w:rsidP="000243EC">
      <w:pPr>
        <w:pStyle w:val="ListParagraph"/>
        <w:numPr>
          <w:ilvl w:val="1"/>
          <w:numId w:val="8"/>
        </w:numPr>
        <w:tabs>
          <w:tab w:val="left" w:pos="1111"/>
        </w:tabs>
        <w:spacing w:before="66" w:after="200"/>
        <w:ind w:left="284" w:right="-164"/>
        <w:jc w:val="both"/>
      </w:pPr>
      <w:r w:rsidRPr="00012F67">
        <w:t>In the opinion of Nomination and Remuneration Committee the Director possess the requisite qualification for the practice of the</w:t>
      </w:r>
      <w:r w:rsidR="0014550A">
        <w:t xml:space="preserve"> </w:t>
      </w:r>
      <w:r w:rsidRPr="00012F67">
        <w:t>profession.</w:t>
      </w:r>
    </w:p>
    <w:p w14:paraId="17AD6EFB" w14:textId="77777777" w:rsidR="001F7FE6" w:rsidRPr="00012F67" w:rsidRDefault="001F7FE6" w:rsidP="000243EC">
      <w:pPr>
        <w:pStyle w:val="BodyText"/>
        <w:spacing w:before="66" w:after="200"/>
        <w:ind w:left="-142" w:right="-164"/>
        <w:jc w:val="both"/>
        <w:rPr>
          <w:sz w:val="22"/>
          <w:szCs w:val="22"/>
        </w:rPr>
      </w:pPr>
      <w:r w:rsidRPr="00012F67">
        <w:rPr>
          <w:sz w:val="22"/>
          <w:szCs w:val="22"/>
        </w:rPr>
        <w:t>As per the provision of Section 188 of the Act, the Audit Committee and the Board of the Company shall appro</w:t>
      </w:r>
      <w:r w:rsidR="00012F67">
        <w:rPr>
          <w:sz w:val="22"/>
          <w:szCs w:val="22"/>
        </w:rPr>
        <w:t xml:space="preserve">ve the Professional fees to be </w:t>
      </w:r>
      <w:r w:rsidRPr="00012F67">
        <w:rPr>
          <w:sz w:val="22"/>
          <w:szCs w:val="22"/>
        </w:rPr>
        <w:t xml:space="preserve">paid to </w:t>
      </w:r>
      <w:r w:rsidR="002C0C34">
        <w:rPr>
          <w:sz w:val="22"/>
          <w:szCs w:val="22"/>
        </w:rPr>
        <w:t>NEDs</w:t>
      </w:r>
      <w:r w:rsidRPr="00012F67">
        <w:rPr>
          <w:sz w:val="22"/>
          <w:szCs w:val="22"/>
        </w:rPr>
        <w:t xml:space="preserve">, and with the approval of the </w:t>
      </w:r>
      <w:r w:rsidR="002C0C34">
        <w:rPr>
          <w:sz w:val="22"/>
          <w:szCs w:val="22"/>
        </w:rPr>
        <w:t>members of the company</w:t>
      </w:r>
      <w:r w:rsidRPr="00012F67">
        <w:rPr>
          <w:sz w:val="22"/>
          <w:szCs w:val="22"/>
        </w:rPr>
        <w:t xml:space="preserve"> where ever required.</w:t>
      </w:r>
    </w:p>
    <w:p w14:paraId="73874E39" w14:textId="77777777" w:rsidR="001F7FE6" w:rsidRPr="00012F67" w:rsidRDefault="001F7FE6" w:rsidP="000243EC">
      <w:pPr>
        <w:pStyle w:val="Heading1"/>
        <w:widowControl w:val="0"/>
        <w:numPr>
          <w:ilvl w:val="0"/>
          <w:numId w:val="9"/>
        </w:numPr>
        <w:tabs>
          <w:tab w:val="left" w:pos="786"/>
          <w:tab w:val="left" w:pos="787"/>
        </w:tabs>
        <w:autoSpaceDE w:val="0"/>
        <w:autoSpaceDN w:val="0"/>
        <w:spacing w:before="66" w:beforeAutospacing="0" w:after="200" w:afterAutospacing="0"/>
        <w:ind w:left="142" w:right="-164" w:hanging="284"/>
        <w:rPr>
          <w:sz w:val="22"/>
          <w:szCs w:val="22"/>
        </w:rPr>
      </w:pPr>
      <w:r w:rsidRPr="00012F67">
        <w:rPr>
          <w:sz w:val="22"/>
          <w:szCs w:val="22"/>
        </w:rPr>
        <w:t>Reimbursement of actual expenses incurred:</w:t>
      </w:r>
    </w:p>
    <w:p w14:paraId="28D0E602" w14:textId="77777777" w:rsidR="001F7FE6" w:rsidRPr="00012F67" w:rsidRDefault="001F7FE6" w:rsidP="000243EC">
      <w:pPr>
        <w:pStyle w:val="BodyText"/>
        <w:spacing w:before="66" w:after="200"/>
        <w:ind w:left="-142" w:right="-164"/>
        <w:jc w:val="both"/>
        <w:rPr>
          <w:sz w:val="22"/>
          <w:szCs w:val="22"/>
        </w:rPr>
      </w:pPr>
      <w:r w:rsidRPr="00012F67">
        <w:rPr>
          <w:sz w:val="22"/>
          <w:szCs w:val="22"/>
        </w:rPr>
        <w:t>NEDs may also be paid/</w:t>
      </w:r>
      <w:r w:rsidR="002C0C34">
        <w:rPr>
          <w:sz w:val="22"/>
          <w:szCs w:val="22"/>
        </w:rPr>
        <w:t xml:space="preserve"> </w:t>
      </w:r>
      <w:r w:rsidRPr="00012F67">
        <w:rPr>
          <w:sz w:val="22"/>
          <w:szCs w:val="22"/>
        </w:rPr>
        <w:t>reimbursed such sums either as</w:t>
      </w:r>
      <w:r w:rsidR="001E6FE4">
        <w:rPr>
          <w:sz w:val="22"/>
          <w:szCs w:val="22"/>
        </w:rPr>
        <w:t xml:space="preserve"> fixed allowance and /or actual</w:t>
      </w:r>
      <w:r w:rsidRPr="00012F67">
        <w:rPr>
          <w:sz w:val="22"/>
          <w:szCs w:val="22"/>
        </w:rPr>
        <w:t xml:space="preserve"> as fair compensation for travel, boarding and lodging and incidental and /or actual out of pocket expenses incurred </w:t>
      </w:r>
      <w:r w:rsidRPr="00012F67">
        <w:rPr>
          <w:spacing w:val="4"/>
          <w:sz w:val="22"/>
          <w:szCs w:val="22"/>
        </w:rPr>
        <w:t xml:space="preserve">by </w:t>
      </w:r>
      <w:r w:rsidRPr="00012F67">
        <w:rPr>
          <w:sz w:val="22"/>
          <w:szCs w:val="22"/>
        </w:rPr>
        <w:t>such member for attending Board/</w:t>
      </w:r>
      <w:r w:rsidR="002C0C34">
        <w:rPr>
          <w:sz w:val="22"/>
          <w:szCs w:val="22"/>
        </w:rPr>
        <w:t xml:space="preserve"> </w:t>
      </w:r>
      <w:r w:rsidRPr="00012F67">
        <w:rPr>
          <w:sz w:val="22"/>
          <w:szCs w:val="22"/>
        </w:rPr>
        <w:t>Committee Meetings or for Company’s</w:t>
      </w:r>
      <w:r w:rsidR="009B7788">
        <w:rPr>
          <w:sz w:val="22"/>
          <w:szCs w:val="22"/>
        </w:rPr>
        <w:t xml:space="preserve"> </w:t>
      </w:r>
      <w:r w:rsidRPr="00012F67">
        <w:rPr>
          <w:sz w:val="22"/>
          <w:szCs w:val="22"/>
        </w:rPr>
        <w:t>work.</w:t>
      </w:r>
    </w:p>
    <w:p w14:paraId="71149398" w14:textId="77777777" w:rsidR="001F7FE6" w:rsidRPr="00012F67" w:rsidRDefault="001F7FE6" w:rsidP="000243EC">
      <w:pPr>
        <w:pStyle w:val="BodyText"/>
        <w:spacing w:before="66" w:after="200"/>
        <w:ind w:left="-142" w:right="-164"/>
        <w:jc w:val="both"/>
        <w:rPr>
          <w:sz w:val="22"/>
          <w:szCs w:val="22"/>
        </w:rPr>
      </w:pPr>
      <w:r w:rsidRPr="00012F67">
        <w:rPr>
          <w:sz w:val="22"/>
          <w:szCs w:val="22"/>
        </w:rPr>
        <w:lastRenderedPageBreak/>
        <w:t>The Nomination and Remuneration Committee is entrusted with the role of reviewing the compensation of</w:t>
      </w:r>
      <w:r w:rsidR="00647828">
        <w:rPr>
          <w:sz w:val="22"/>
          <w:szCs w:val="22"/>
        </w:rPr>
        <w:t xml:space="preserve"> </w:t>
      </w:r>
      <w:r w:rsidRPr="00012F67">
        <w:rPr>
          <w:sz w:val="22"/>
          <w:szCs w:val="22"/>
        </w:rPr>
        <w:t>NEDs.</w:t>
      </w:r>
    </w:p>
    <w:p w14:paraId="3D6F2940" w14:textId="77777777" w:rsidR="00236EAD" w:rsidRPr="00236EAD" w:rsidRDefault="00236EAD" w:rsidP="00236EAD">
      <w:pPr>
        <w:pStyle w:val="Heading1"/>
        <w:widowControl w:val="0"/>
        <w:numPr>
          <w:ilvl w:val="0"/>
          <w:numId w:val="9"/>
        </w:numPr>
        <w:tabs>
          <w:tab w:val="left" w:pos="786"/>
          <w:tab w:val="left" w:pos="787"/>
        </w:tabs>
        <w:autoSpaceDE w:val="0"/>
        <w:autoSpaceDN w:val="0"/>
        <w:spacing w:before="66" w:beforeAutospacing="0" w:after="200" w:afterAutospacing="0"/>
        <w:ind w:left="142" w:right="-164" w:hanging="284"/>
        <w:rPr>
          <w:sz w:val="22"/>
          <w:szCs w:val="22"/>
        </w:rPr>
      </w:pPr>
      <w:r w:rsidRPr="00236EAD">
        <w:rPr>
          <w:sz w:val="22"/>
          <w:szCs w:val="22"/>
        </w:rPr>
        <w:t>Ref</w:t>
      </w:r>
      <w:r>
        <w:rPr>
          <w:sz w:val="22"/>
          <w:szCs w:val="22"/>
        </w:rPr>
        <w:t>und of excess remuneration paid:</w:t>
      </w:r>
    </w:p>
    <w:p w14:paraId="6C8E5FFA" w14:textId="77777777" w:rsidR="00236EAD" w:rsidRDefault="00236EAD" w:rsidP="00236EAD">
      <w:pPr>
        <w:pStyle w:val="BodyText"/>
        <w:spacing w:before="66" w:after="200"/>
        <w:ind w:left="-142" w:right="-164"/>
        <w:jc w:val="both"/>
        <w:rPr>
          <w:sz w:val="22"/>
          <w:szCs w:val="22"/>
        </w:rPr>
      </w:pPr>
      <w:r w:rsidRPr="00236EAD">
        <w:rPr>
          <w:sz w:val="22"/>
          <w:szCs w:val="22"/>
        </w:rPr>
        <w:t>If any director draws or receives, directly or indirectly, by way of remuneration any such</w:t>
      </w:r>
      <w:r>
        <w:rPr>
          <w:sz w:val="22"/>
          <w:szCs w:val="22"/>
        </w:rPr>
        <w:t xml:space="preserve"> </w:t>
      </w:r>
      <w:r w:rsidRPr="00236EAD">
        <w:rPr>
          <w:sz w:val="22"/>
          <w:szCs w:val="22"/>
        </w:rPr>
        <w:t>sums in excess of the prescribed limit or without the prior sanction of the Central</w:t>
      </w:r>
      <w:r>
        <w:rPr>
          <w:sz w:val="22"/>
          <w:szCs w:val="22"/>
        </w:rPr>
        <w:t xml:space="preserve"> </w:t>
      </w:r>
      <w:r w:rsidRPr="00236EAD">
        <w:rPr>
          <w:sz w:val="22"/>
          <w:szCs w:val="22"/>
        </w:rPr>
        <w:t xml:space="preserve">Government, </w:t>
      </w:r>
      <w:r w:rsidRPr="00236EAD">
        <w:rPr>
          <w:i/>
          <w:sz w:val="22"/>
          <w:szCs w:val="22"/>
        </w:rPr>
        <w:t>where it is required,</w:t>
      </w:r>
      <w:r w:rsidRPr="00236EAD">
        <w:rPr>
          <w:sz w:val="22"/>
          <w:szCs w:val="22"/>
        </w:rPr>
        <w:t xml:space="preserve"> </w:t>
      </w:r>
      <w:r>
        <w:rPr>
          <w:sz w:val="22"/>
          <w:szCs w:val="22"/>
        </w:rPr>
        <w:t xml:space="preserve">such person </w:t>
      </w:r>
      <w:r w:rsidRPr="00236EAD">
        <w:rPr>
          <w:sz w:val="22"/>
          <w:szCs w:val="22"/>
        </w:rPr>
        <w:t>shall refund such sums to the Company and until</w:t>
      </w:r>
      <w:r>
        <w:rPr>
          <w:sz w:val="22"/>
          <w:szCs w:val="22"/>
        </w:rPr>
        <w:t xml:space="preserve"> </w:t>
      </w:r>
      <w:r w:rsidRPr="00236EAD">
        <w:rPr>
          <w:sz w:val="22"/>
          <w:szCs w:val="22"/>
        </w:rPr>
        <w:t>such sum is refunded, hold it in trust for the Company. The Company shall not waive the</w:t>
      </w:r>
      <w:r>
        <w:rPr>
          <w:sz w:val="22"/>
          <w:szCs w:val="22"/>
        </w:rPr>
        <w:t xml:space="preserve"> </w:t>
      </w:r>
      <w:r w:rsidRPr="00236EAD">
        <w:rPr>
          <w:sz w:val="22"/>
          <w:szCs w:val="22"/>
        </w:rPr>
        <w:t>recovery of any sum refundable to it unless permitted by the Central Government.</w:t>
      </w:r>
    </w:p>
    <w:p w14:paraId="2D04F0F5" w14:textId="77777777" w:rsidR="00360B1F" w:rsidRPr="002C0C34" w:rsidRDefault="001E6FE4" w:rsidP="000243EC">
      <w:pPr>
        <w:pStyle w:val="Heading1"/>
        <w:widowControl w:val="0"/>
        <w:numPr>
          <w:ilvl w:val="0"/>
          <w:numId w:val="9"/>
        </w:numPr>
        <w:tabs>
          <w:tab w:val="left" w:pos="786"/>
          <w:tab w:val="left" w:pos="787"/>
        </w:tabs>
        <w:autoSpaceDE w:val="0"/>
        <w:autoSpaceDN w:val="0"/>
        <w:spacing w:before="66" w:beforeAutospacing="0" w:after="200" w:afterAutospacing="0"/>
        <w:ind w:left="142" w:right="-164" w:hanging="284"/>
        <w:rPr>
          <w:sz w:val="22"/>
          <w:szCs w:val="22"/>
        </w:rPr>
      </w:pPr>
      <w:r w:rsidRPr="001E6FE4">
        <w:rPr>
          <w:sz w:val="22"/>
          <w:szCs w:val="22"/>
        </w:rPr>
        <w:t>Stock</w:t>
      </w:r>
      <w:r w:rsidR="00225DD3">
        <w:rPr>
          <w:sz w:val="22"/>
          <w:szCs w:val="22"/>
        </w:rPr>
        <w:t xml:space="preserve"> </w:t>
      </w:r>
      <w:r w:rsidRPr="001E6FE4">
        <w:rPr>
          <w:sz w:val="22"/>
          <w:szCs w:val="22"/>
        </w:rPr>
        <w:t>Options</w:t>
      </w:r>
      <w:r w:rsidRPr="002C0C34">
        <w:rPr>
          <w:sz w:val="22"/>
          <w:szCs w:val="22"/>
        </w:rPr>
        <w:t xml:space="preserve">: </w:t>
      </w:r>
    </w:p>
    <w:p w14:paraId="319CB9A7" w14:textId="77777777" w:rsidR="001E6FE4" w:rsidRDefault="001E6FE4" w:rsidP="000243EC">
      <w:pPr>
        <w:pStyle w:val="Heading1"/>
        <w:widowControl w:val="0"/>
        <w:tabs>
          <w:tab w:val="left" w:pos="685"/>
          <w:tab w:val="left" w:pos="687"/>
        </w:tabs>
        <w:autoSpaceDE w:val="0"/>
        <w:autoSpaceDN w:val="0"/>
        <w:spacing w:before="66" w:beforeAutospacing="0" w:after="200" w:afterAutospacing="0"/>
        <w:ind w:left="-142" w:right="-164"/>
        <w:jc w:val="both"/>
        <w:rPr>
          <w:b w:val="0"/>
          <w:sz w:val="22"/>
          <w:szCs w:val="22"/>
        </w:rPr>
      </w:pPr>
      <w:r w:rsidRPr="001E6FE4">
        <w:rPr>
          <w:b w:val="0"/>
          <w:sz w:val="22"/>
          <w:szCs w:val="22"/>
        </w:rPr>
        <w:t xml:space="preserve">As per the Regulation 17 of the Listing Regulations, the </w:t>
      </w:r>
      <w:r w:rsidR="009F4187">
        <w:rPr>
          <w:b w:val="0"/>
          <w:sz w:val="22"/>
          <w:szCs w:val="22"/>
        </w:rPr>
        <w:t>member’s</w:t>
      </w:r>
      <w:r w:rsidR="007F2644">
        <w:rPr>
          <w:b w:val="0"/>
          <w:sz w:val="22"/>
          <w:szCs w:val="22"/>
        </w:rPr>
        <w:t xml:space="preserve"> </w:t>
      </w:r>
      <w:r w:rsidRPr="001E6FE4">
        <w:rPr>
          <w:b w:val="0"/>
          <w:sz w:val="22"/>
          <w:szCs w:val="22"/>
        </w:rPr>
        <w:t xml:space="preserve">resolution shall specify the limits for the maximum number of stock options that can be granted to </w:t>
      </w:r>
      <w:r w:rsidR="007F2644">
        <w:rPr>
          <w:b w:val="0"/>
          <w:sz w:val="22"/>
          <w:szCs w:val="22"/>
        </w:rPr>
        <w:t>NEDs</w:t>
      </w:r>
      <w:r w:rsidRPr="001E6FE4">
        <w:rPr>
          <w:b w:val="0"/>
          <w:sz w:val="22"/>
          <w:szCs w:val="22"/>
        </w:rPr>
        <w:t xml:space="preserve">, in any financial year and in aggregate. Provided that an independent director shall not be entitled to any stock option and may receive remuneration by way of fees and reimbursement of expenses for participation in meetings of the Board and other meetings and profit related commission as may be approved by the members. </w:t>
      </w:r>
    </w:p>
    <w:p w14:paraId="648AFC8E" w14:textId="77777777" w:rsidR="007F2644" w:rsidRPr="007F2644" w:rsidRDefault="007F2644" w:rsidP="000243EC">
      <w:pPr>
        <w:spacing w:before="66"/>
        <w:ind w:left="-142" w:right="-164"/>
        <w:jc w:val="both"/>
        <w:rPr>
          <w:rFonts w:ascii="Times New Roman" w:eastAsia="Times New Roman" w:hAnsi="Times New Roman" w:cs="Times New Roman"/>
          <w:b/>
          <w:color w:val="000000" w:themeColor="text1"/>
        </w:rPr>
      </w:pPr>
      <w:r w:rsidRPr="007F2644">
        <w:rPr>
          <w:rFonts w:ascii="Times New Roman" w:eastAsia="Times New Roman" w:hAnsi="Times New Roman" w:cs="Times New Roman"/>
          <w:b/>
          <w:color w:val="000000" w:themeColor="text1"/>
        </w:rPr>
        <w:t>AMENDMENT</w:t>
      </w:r>
    </w:p>
    <w:p w14:paraId="4307B8F7" w14:textId="77777777" w:rsidR="007F2644" w:rsidRPr="007F2644" w:rsidRDefault="007F2644" w:rsidP="000243EC">
      <w:pPr>
        <w:pStyle w:val="Heading1"/>
        <w:widowControl w:val="0"/>
        <w:tabs>
          <w:tab w:val="left" w:pos="685"/>
          <w:tab w:val="left" w:pos="687"/>
        </w:tabs>
        <w:autoSpaceDE w:val="0"/>
        <w:autoSpaceDN w:val="0"/>
        <w:spacing w:before="66" w:beforeAutospacing="0" w:after="200" w:afterAutospacing="0"/>
        <w:ind w:left="-142" w:right="-164"/>
        <w:jc w:val="both"/>
        <w:rPr>
          <w:b w:val="0"/>
          <w:sz w:val="22"/>
          <w:szCs w:val="22"/>
        </w:rPr>
      </w:pPr>
      <w:r w:rsidRPr="007F2644">
        <w:rPr>
          <w:b w:val="0"/>
          <w:sz w:val="22"/>
          <w:szCs w:val="22"/>
        </w:rPr>
        <w:t xml:space="preserve">Any change in the Policy shall be approved by the Board of the Company. The Board shall have the right to withdraw and/ or amend any part of this Policy or the entire Policy, at any time, as it deems fit, or from time to time, and the decision of the Board in this respect shall be final and binding. </w:t>
      </w:r>
    </w:p>
    <w:p w14:paraId="1A4FAC5B" w14:textId="77777777" w:rsidR="007F2644" w:rsidRPr="007F2644" w:rsidRDefault="007F2644" w:rsidP="000243EC">
      <w:pPr>
        <w:pStyle w:val="Heading1"/>
        <w:widowControl w:val="0"/>
        <w:tabs>
          <w:tab w:val="left" w:pos="685"/>
          <w:tab w:val="left" w:pos="687"/>
        </w:tabs>
        <w:autoSpaceDE w:val="0"/>
        <w:autoSpaceDN w:val="0"/>
        <w:spacing w:before="66" w:beforeAutospacing="0" w:after="200" w:afterAutospacing="0"/>
        <w:ind w:left="-142" w:right="-164"/>
        <w:jc w:val="both"/>
        <w:rPr>
          <w:b w:val="0"/>
          <w:sz w:val="22"/>
          <w:szCs w:val="22"/>
        </w:rPr>
      </w:pPr>
      <w:r w:rsidRPr="007F2644">
        <w:rPr>
          <w:b w:val="0"/>
          <w:sz w:val="22"/>
          <w:szCs w:val="22"/>
        </w:rPr>
        <w:t>In case any provisions of the Policy are contrary to or inconsistent with the provisions of the Companies Act, 2013, rules framed thereunder and Listing Regulations (“Statutory Provisions”), the provisions of Statutory Provisions shall prevail.</w:t>
      </w:r>
    </w:p>
    <w:p w14:paraId="7D93E39D" w14:textId="77777777" w:rsidR="007F2644" w:rsidRPr="007F2644" w:rsidRDefault="007F2644" w:rsidP="000243EC">
      <w:pPr>
        <w:spacing w:before="66"/>
        <w:ind w:left="-142" w:right="-164"/>
        <w:jc w:val="both"/>
        <w:rPr>
          <w:rFonts w:ascii="Times New Roman" w:eastAsia="Times New Roman" w:hAnsi="Times New Roman" w:cs="Times New Roman"/>
          <w:b/>
          <w:color w:val="000000" w:themeColor="text1"/>
        </w:rPr>
      </w:pPr>
      <w:r w:rsidRPr="007F2644">
        <w:rPr>
          <w:rFonts w:ascii="Times New Roman" w:eastAsia="Times New Roman" w:hAnsi="Times New Roman" w:cs="Times New Roman"/>
          <w:b/>
          <w:color w:val="000000" w:themeColor="text1"/>
        </w:rPr>
        <w:t>DISSEMINATION OF THE POLICY</w:t>
      </w:r>
    </w:p>
    <w:p w14:paraId="2D9005F5" w14:textId="6CB24258" w:rsidR="007F2644" w:rsidRPr="007F2644" w:rsidRDefault="007F2644" w:rsidP="000243EC">
      <w:pPr>
        <w:pStyle w:val="Heading1"/>
        <w:widowControl w:val="0"/>
        <w:tabs>
          <w:tab w:val="left" w:pos="685"/>
          <w:tab w:val="left" w:pos="687"/>
        </w:tabs>
        <w:autoSpaceDE w:val="0"/>
        <w:autoSpaceDN w:val="0"/>
        <w:spacing w:before="66" w:beforeAutospacing="0" w:after="200" w:afterAutospacing="0"/>
        <w:ind w:left="-142" w:right="-164"/>
        <w:jc w:val="both"/>
        <w:rPr>
          <w:b w:val="0"/>
          <w:sz w:val="22"/>
          <w:szCs w:val="22"/>
        </w:rPr>
      </w:pPr>
      <w:r w:rsidRPr="007F2644">
        <w:rPr>
          <w:b w:val="0"/>
          <w:sz w:val="22"/>
          <w:szCs w:val="22"/>
        </w:rPr>
        <w:t xml:space="preserve">The policy shall be hosted on the website of the Company i.e. </w:t>
      </w:r>
      <w:hyperlink r:id="rId9" w:history="1">
        <w:r w:rsidR="00BE526B" w:rsidRPr="00BE526B">
          <w:rPr>
            <w:b w:val="0"/>
            <w:bCs w:val="0"/>
            <w:color w:val="0000FF"/>
            <w:w w:val="105"/>
            <w:kern w:val="0"/>
            <w:sz w:val="22"/>
            <w:szCs w:val="22"/>
            <w:u w:val="single"/>
            <w:lang w:val="en-US" w:eastAsia="en-US"/>
          </w:rPr>
          <w:t>https://www.baikakajipolymers.com</w:t>
        </w:r>
      </w:hyperlink>
      <w:r w:rsidR="003334BA">
        <w:rPr>
          <w:b w:val="0"/>
          <w:sz w:val="22"/>
          <w:szCs w:val="22"/>
        </w:rPr>
        <w:t xml:space="preserve"> </w:t>
      </w:r>
    </w:p>
    <w:p w14:paraId="09414EAA" w14:textId="77777777" w:rsidR="007F2644" w:rsidRPr="00074D3D" w:rsidRDefault="00074D3D" w:rsidP="00074D3D">
      <w:pPr>
        <w:pStyle w:val="Header"/>
        <w:tabs>
          <w:tab w:val="left" w:pos="720"/>
          <w:tab w:val="left" w:pos="1575"/>
        </w:tabs>
        <w:spacing w:before="66" w:after="200"/>
        <w:ind w:left="-142" w:right="-164"/>
        <w:jc w:val="center"/>
        <w:rPr>
          <w:rFonts w:ascii="Times New Roman" w:hAnsi="Times New Roman" w:cs="Times New Roman"/>
          <w:color w:val="000000" w:themeColor="text1"/>
          <w:sz w:val="32"/>
          <w:szCs w:val="32"/>
        </w:rPr>
      </w:pPr>
      <w:r w:rsidRPr="00074D3D">
        <w:rPr>
          <w:rFonts w:ascii="Times New Roman" w:hAnsi="Times New Roman" w:cs="Times New Roman"/>
          <w:color w:val="000000" w:themeColor="text1"/>
          <w:sz w:val="32"/>
          <w:szCs w:val="32"/>
        </w:rPr>
        <w:t>*************</w:t>
      </w:r>
    </w:p>
    <w:p w14:paraId="29738E40" w14:textId="77777777" w:rsidR="007F2644" w:rsidRDefault="007F2644" w:rsidP="000243EC">
      <w:pPr>
        <w:pStyle w:val="Header"/>
        <w:tabs>
          <w:tab w:val="left" w:pos="720"/>
          <w:tab w:val="left" w:pos="1575"/>
        </w:tabs>
        <w:spacing w:before="66" w:after="200"/>
        <w:ind w:left="-142" w:right="-164"/>
        <w:rPr>
          <w:rFonts w:ascii="Times New Roman" w:hAnsi="Times New Roman" w:cs="Times New Roman"/>
          <w:b/>
          <w:color w:val="000000" w:themeColor="text1"/>
        </w:rPr>
      </w:pPr>
    </w:p>
    <w:p w14:paraId="5124F375" w14:textId="77777777" w:rsidR="007F2644" w:rsidRDefault="007F2644" w:rsidP="000243EC">
      <w:pPr>
        <w:pStyle w:val="Header"/>
        <w:tabs>
          <w:tab w:val="left" w:pos="720"/>
          <w:tab w:val="left" w:pos="1575"/>
        </w:tabs>
        <w:spacing w:before="66" w:after="200"/>
        <w:ind w:left="-142" w:right="-164"/>
        <w:rPr>
          <w:rFonts w:ascii="Times New Roman" w:hAnsi="Times New Roman" w:cs="Times New Roman"/>
          <w:b/>
          <w:color w:val="000000" w:themeColor="text1"/>
        </w:rPr>
      </w:pPr>
    </w:p>
    <w:p w14:paraId="119CB0EA" w14:textId="77777777" w:rsidR="007F2644" w:rsidRDefault="007F2644" w:rsidP="000243EC">
      <w:pPr>
        <w:pStyle w:val="Header"/>
        <w:tabs>
          <w:tab w:val="left" w:pos="720"/>
          <w:tab w:val="left" w:pos="1575"/>
        </w:tabs>
        <w:spacing w:before="66" w:after="200"/>
        <w:ind w:left="-142" w:right="-164"/>
        <w:rPr>
          <w:rFonts w:ascii="Times New Roman" w:hAnsi="Times New Roman" w:cs="Times New Roman"/>
          <w:b/>
          <w:color w:val="000000" w:themeColor="text1"/>
        </w:rPr>
      </w:pPr>
    </w:p>
    <w:p w14:paraId="433BB994" w14:textId="77777777" w:rsidR="007F2644" w:rsidRDefault="007F2644" w:rsidP="000243EC">
      <w:pPr>
        <w:pStyle w:val="Header"/>
        <w:tabs>
          <w:tab w:val="left" w:pos="720"/>
          <w:tab w:val="left" w:pos="1575"/>
        </w:tabs>
        <w:spacing w:before="66" w:after="200"/>
        <w:ind w:left="-142" w:right="-164"/>
        <w:rPr>
          <w:rFonts w:ascii="Times New Roman" w:hAnsi="Times New Roman" w:cs="Times New Roman"/>
          <w:b/>
          <w:color w:val="000000" w:themeColor="text1"/>
        </w:rPr>
      </w:pPr>
    </w:p>
    <w:p w14:paraId="654B41EC" w14:textId="77777777" w:rsidR="00F306D8" w:rsidRDefault="00F306D8" w:rsidP="000243EC">
      <w:pPr>
        <w:pStyle w:val="Header"/>
        <w:tabs>
          <w:tab w:val="left" w:pos="720"/>
          <w:tab w:val="left" w:pos="1575"/>
        </w:tabs>
        <w:spacing w:before="66" w:after="200"/>
        <w:ind w:left="-142" w:right="-164"/>
        <w:rPr>
          <w:rFonts w:ascii="Times New Roman" w:hAnsi="Times New Roman" w:cs="Times New Roman"/>
          <w:b/>
          <w:color w:val="000000" w:themeColor="text1"/>
        </w:rPr>
      </w:pPr>
    </w:p>
    <w:p w14:paraId="132CEECD" w14:textId="77777777" w:rsidR="00F306D8" w:rsidRDefault="00F306D8" w:rsidP="000243EC">
      <w:pPr>
        <w:pStyle w:val="Header"/>
        <w:tabs>
          <w:tab w:val="left" w:pos="720"/>
          <w:tab w:val="left" w:pos="1575"/>
        </w:tabs>
        <w:spacing w:before="66" w:after="200"/>
        <w:ind w:left="-142" w:right="-164"/>
        <w:rPr>
          <w:rFonts w:ascii="Times New Roman" w:hAnsi="Times New Roman" w:cs="Times New Roman"/>
          <w:b/>
          <w:color w:val="000000" w:themeColor="text1"/>
        </w:rPr>
      </w:pPr>
    </w:p>
    <w:p w14:paraId="3DD1EFD0" w14:textId="77777777" w:rsidR="00F306D8" w:rsidRDefault="00F306D8" w:rsidP="000243EC">
      <w:pPr>
        <w:pStyle w:val="Header"/>
        <w:tabs>
          <w:tab w:val="left" w:pos="720"/>
          <w:tab w:val="left" w:pos="1575"/>
        </w:tabs>
        <w:spacing w:before="66" w:after="200"/>
        <w:ind w:left="-142" w:right="-164"/>
        <w:rPr>
          <w:rFonts w:ascii="Times New Roman" w:hAnsi="Times New Roman" w:cs="Times New Roman"/>
          <w:b/>
          <w:color w:val="000000" w:themeColor="text1"/>
        </w:rPr>
      </w:pPr>
      <w:bookmarkStart w:id="0" w:name="_GoBack"/>
      <w:bookmarkEnd w:id="0"/>
    </w:p>
    <w:p w14:paraId="39E9C106" w14:textId="77777777" w:rsidR="00F306D8" w:rsidRDefault="00F306D8" w:rsidP="000243EC">
      <w:pPr>
        <w:pStyle w:val="Header"/>
        <w:tabs>
          <w:tab w:val="left" w:pos="720"/>
          <w:tab w:val="left" w:pos="1575"/>
        </w:tabs>
        <w:spacing w:before="66" w:after="200"/>
        <w:ind w:left="-142" w:right="-164"/>
        <w:rPr>
          <w:rFonts w:ascii="Times New Roman" w:hAnsi="Times New Roman" w:cs="Times New Roman"/>
          <w:b/>
          <w:color w:val="000000" w:themeColor="text1"/>
        </w:rPr>
      </w:pPr>
    </w:p>
    <w:p w14:paraId="579EE170" w14:textId="77777777" w:rsidR="007F2644" w:rsidRDefault="007F2644" w:rsidP="000243EC">
      <w:pPr>
        <w:pStyle w:val="Header"/>
        <w:tabs>
          <w:tab w:val="left" w:pos="720"/>
          <w:tab w:val="left" w:pos="1575"/>
        </w:tabs>
        <w:spacing w:before="66" w:after="200"/>
        <w:ind w:left="-142" w:right="-164"/>
        <w:rPr>
          <w:rFonts w:ascii="Times New Roman" w:hAnsi="Times New Roman" w:cs="Times New Roman"/>
          <w:b/>
          <w:color w:val="000000" w:themeColor="text1"/>
        </w:rPr>
      </w:pPr>
    </w:p>
    <w:p w14:paraId="053B72DD" w14:textId="77777777" w:rsidR="007F2644" w:rsidRDefault="007F2644" w:rsidP="000243EC">
      <w:pPr>
        <w:pStyle w:val="BodyText"/>
        <w:spacing w:before="66" w:after="200" w:line="276" w:lineRule="auto"/>
        <w:ind w:left="-142" w:right="-164"/>
        <w:jc w:val="both"/>
        <w:rPr>
          <w:i/>
          <w:sz w:val="18"/>
          <w:highlight w:val="yellow"/>
        </w:rPr>
      </w:pPr>
    </w:p>
    <w:p w14:paraId="54B22E59" w14:textId="77777777" w:rsidR="007F2644" w:rsidRDefault="007F2644" w:rsidP="000243EC">
      <w:pPr>
        <w:pStyle w:val="BodyText"/>
        <w:spacing w:before="66" w:after="200" w:line="276" w:lineRule="auto"/>
        <w:ind w:left="-142" w:right="-164"/>
        <w:jc w:val="both"/>
        <w:rPr>
          <w:i/>
          <w:sz w:val="18"/>
          <w:highlight w:val="yellow"/>
        </w:rPr>
      </w:pPr>
    </w:p>
    <w:p w14:paraId="61D19C5B" w14:textId="77777777" w:rsidR="00BE526B" w:rsidRPr="001A52F3" w:rsidRDefault="00BE526B" w:rsidP="00BE526B">
      <w:pPr>
        <w:pStyle w:val="BodyText"/>
        <w:spacing w:before="26"/>
        <w:ind w:left="-142" w:right="-165"/>
        <w:jc w:val="both"/>
        <w:rPr>
          <w:i/>
          <w:sz w:val="18"/>
        </w:rPr>
      </w:pPr>
      <w:r w:rsidRPr="001A52F3">
        <w:rPr>
          <w:i/>
          <w:sz w:val="18"/>
        </w:rPr>
        <w:t>Effective Date: May 23, 2025</w:t>
      </w:r>
    </w:p>
    <w:p w14:paraId="41683D34" w14:textId="77777777" w:rsidR="00BE526B" w:rsidRPr="00E215DE" w:rsidRDefault="00BE526B" w:rsidP="00BE526B">
      <w:pPr>
        <w:pStyle w:val="BodyText"/>
        <w:spacing w:before="26"/>
        <w:ind w:left="-142" w:right="-165"/>
        <w:jc w:val="both"/>
      </w:pPr>
      <w:r w:rsidRPr="001A52F3">
        <w:rPr>
          <w:i/>
          <w:sz w:val="18"/>
        </w:rPr>
        <w:t xml:space="preserve">Date of Approval by Board of Directors: </w:t>
      </w:r>
      <w:r>
        <w:rPr>
          <w:i/>
          <w:sz w:val="18"/>
        </w:rPr>
        <w:t>May 23, 2025</w:t>
      </w:r>
    </w:p>
    <w:p w14:paraId="3625658D" w14:textId="0A7FBF11" w:rsidR="003363D0" w:rsidRPr="00012F67" w:rsidRDefault="003363D0" w:rsidP="00BE526B">
      <w:pPr>
        <w:pStyle w:val="BodyText"/>
        <w:spacing w:before="66" w:line="276" w:lineRule="auto"/>
        <w:ind w:left="-142" w:right="-164"/>
        <w:jc w:val="both"/>
      </w:pPr>
    </w:p>
    <w:sectPr w:rsidR="003363D0" w:rsidRPr="00012F67" w:rsidSect="00AB0B58">
      <w:type w:val="continuous"/>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D2A35" w14:textId="77777777" w:rsidR="006702B5" w:rsidRDefault="006702B5" w:rsidP="00F1274A">
      <w:pPr>
        <w:spacing w:after="0" w:line="240" w:lineRule="auto"/>
      </w:pPr>
      <w:r>
        <w:separator/>
      </w:r>
    </w:p>
  </w:endnote>
  <w:endnote w:type="continuationSeparator" w:id="0">
    <w:p w14:paraId="660818FC" w14:textId="77777777" w:rsidR="006702B5" w:rsidRDefault="006702B5" w:rsidP="00F1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F6436" w14:textId="77777777" w:rsidR="006702B5" w:rsidRDefault="006702B5" w:rsidP="00F1274A">
      <w:pPr>
        <w:spacing w:after="0" w:line="240" w:lineRule="auto"/>
      </w:pPr>
      <w:r>
        <w:separator/>
      </w:r>
    </w:p>
  </w:footnote>
  <w:footnote w:type="continuationSeparator" w:id="0">
    <w:p w14:paraId="1D9417A3" w14:textId="77777777" w:rsidR="006702B5" w:rsidRDefault="006702B5" w:rsidP="00F12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44461"/>
    <w:multiLevelType w:val="multilevel"/>
    <w:tmpl w:val="16C01F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054004"/>
    <w:multiLevelType w:val="multilevel"/>
    <w:tmpl w:val="32E61E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A0D0BFD"/>
    <w:multiLevelType w:val="multilevel"/>
    <w:tmpl w:val="21DC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603D01"/>
    <w:multiLevelType w:val="hybridMultilevel"/>
    <w:tmpl w:val="5ABA0504"/>
    <w:lvl w:ilvl="0" w:tplc="53CAF87E">
      <w:numFmt w:val="bullet"/>
      <w:lvlText w:val=""/>
      <w:lvlJc w:val="left"/>
      <w:pPr>
        <w:ind w:left="786" w:hanging="567"/>
      </w:pPr>
      <w:rPr>
        <w:rFonts w:ascii="Wingdings" w:eastAsia="Wingdings" w:hAnsi="Wingdings" w:cs="Wingdings" w:hint="default"/>
        <w:w w:val="100"/>
        <w:sz w:val="24"/>
        <w:szCs w:val="24"/>
        <w:lang w:val="en-US" w:eastAsia="en-US" w:bidi="ar-SA"/>
      </w:rPr>
    </w:lvl>
    <w:lvl w:ilvl="1" w:tplc="40090017">
      <w:start w:val="1"/>
      <w:numFmt w:val="lowerLetter"/>
      <w:lvlText w:val="%2)"/>
      <w:lvlJc w:val="left"/>
      <w:pPr>
        <w:ind w:left="1110" w:hanging="360"/>
      </w:pPr>
      <w:rPr>
        <w:rFonts w:hint="default"/>
        <w:spacing w:val="-6"/>
        <w:w w:val="99"/>
        <w:sz w:val="24"/>
        <w:szCs w:val="24"/>
        <w:lang w:val="en-US" w:eastAsia="en-US" w:bidi="ar-SA"/>
      </w:rPr>
    </w:lvl>
    <w:lvl w:ilvl="2" w:tplc="B4DA8506">
      <w:numFmt w:val="bullet"/>
      <w:lvlText w:val="•"/>
      <w:lvlJc w:val="left"/>
      <w:pPr>
        <w:ind w:left="2044" w:hanging="360"/>
      </w:pPr>
      <w:rPr>
        <w:rFonts w:hint="default"/>
        <w:lang w:val="en-US" w:eastAsia="en-US" w:bidi="ar-SA"/>
      </w:rPr>
    </w:lvl>
    <w:lvl w:ilvl="3" w:tplc="A2CE25CA">
      <w:numFmt w:val="bullet"/>
      <w:lvlText w:val="•"/>
      <w:lvlJc w:val="left"/>
      <w:pPr>
        <w:ind w:left="2969" w:hanging="360"/>
      </w:pPr>
      <w:rPr>
        <w:rFonts w:hint="default"/>
        <w:lang w:val="en-US" w:eastAsia="en-US" w:bidi="ar-SA"/>
      </w:rPr>
    </w:lvl>
    <w:lvl w:ilvl="4" w:tplc="0FC68382">
      <w:numFmt w:val="bullet"/>
      <w:lvlText w:val="•"/>
      <w:lvlJc w:val="left"/>
      <w:pPr>
        <w:ind w:left="3893" w:hanging="360"/>
      </w:pPr>
      <w:rPr>
        <w:rFonts w:hint="default"/>
        <w:lang w:val="en-US" w:eastAsia="en-US" w:bidi="ar-SA"/>
      </w:rPr>
    </w:lvl>
    <w:lvl w:ilvl="5" w:tplc="8B2EDFD6">
      <w:numFmt w:val="bullet"/>
      <w:lvlText w:val="•"/>
      <w:lvlJc w:val="left"/>
      <w:pPr>
        <w:ind w:left="4818" w:hanging="360"/>
      </w:pPr>
      <w:rPr>
        <w:rFonts w:hint="default"/>
        <w:lang w:val="en-US" w:eastAsia="en-US" w:bidi="ar-SA"/>
      </w:rPr>
    </w:lvl>
    <w:lvl w:ilvl="6" w:tplc="9CFAB29C">
      <w:numFmt w:val="bullet"/>
      <w:lvlText w:val="•"/>
      <w:lvlJc w:val="left"/>
      <w:pPr>
        <w:ind w:left="5742" w:hanging="360"/>
      </w:pPr>
      <w:rPr>
        <w:rFonts w:hint="default"/>
        <w:lang w:val="en-US" w:eastAsia="en-US" w:bidi="ar-SA"/>
      </w:rPr>
    </w:lvl>
    <w:lvl w:ilvl="7" w:tplc="A6F6A594">
      <w:numFmt w:val="bullet"/>
      <w:lvlText w:val="•"/>
      <w:lvlJc w:val="left"/>
      <w:pPr>
        <w:ind w:left="6667" w:hanging="360"/>
      </w:pPr>
      <w:rPr>
        <w:rFonts w:hint="default"/>
        <w:lang w:val="en-US" w:eastAsia="en-US" w:bidi="ar-SA"/>
      </w:rPr>
    </w:lvl>
    <w:lvl w:ilvl="8" w:tplc="8990D84E">
      <w:numFmt w:val="bullet"/>
      <w:lvlText w:val="•"/>
      <w:lvlJc w:val="left"/>
      <w:pPr>
        <w:ind w:left="7591" w:hanging="360"/>
      </w:pPr>
      <w:rPr>
        <w:rFonts w:hint="default"/>
        <w:lang w:val="en-US" w:eastAsia="en-US" w:bidi="ar-SA"/>
      </w:rPr>
    </w:lvl>
  </w:abstractNum>
  <w:abstractNum w:abstractNumId="4">
    <w:nsid w:val="5350692C"/>
    <w:multiLevelType w:val="hybridMultilevel"/>
    <w:tmpl w:val="06C4F2F0"/>
    <w:lvl w:ilvl="0" w:tplc="8DE88402">
      <w:numFmt w:val="bullet"/>
      <w:lvlText w:val=""/>
      <w:lvlJc w:val="left"/>
      <w:pPr>
        <w:ind w:left="686" w:hanging="567"/>
      </w:pPr>
      <w:rPr>
        <w:rFonts w:ascii="Wingdings" w:eastAsia="Wingdings" w:hAnsi="Wingdings" w:cs="Wingdings" w:hint="default"/>
        <w:w w:val="100"/>
        <w:sz w:val="24"/>
        <w:szCs w:val="24"/>
        <w:lang w:val="en-US" w:eastAsia="en-US" w:bidi="ar-SA"/>
      </w:rPr>
    </w:lvl>
    <w:lvl w:ilvl="1" w:tplc="CE1CA7F6">
      <w:numFmt w:val="bullet"/>
      <w:lvlText w:val=""/>
      <w:lvlJc w:val="left"/>
      <w:pPr>
        <w:ind w:left="786" w:hanging="567"/>
      </w:pPr>
      <w:rPr>
        <w:rFonts w:ascii="Wingdings" w:eastAsia="Wingdings" w:hAnsi="Wingdings" w:cs="Wingdings" w:hint="default"/>
        <w:w w:val="100"/>
        <w:sz w:val="24"/>
        <w:szCs w:val="24"/>
        <w:lang w:val="en-US" w:eastAsia="en-US" w:bidi="ar-SA"/>
      </w:rPr>
    </w:lvl>
    <w:lvl w:ilvl="2" w:tplc="0E4E13A0">
      <w:numFmt w:val="bullet"/>
      <w:lvlText w:val="•"/>
      <w:lvlJc w:val="left"/>
      <w:pPr>
        <w:ind w:left="1742" w:hanging="567"/>
      </w:pPr>
      <w:rPr>
        <w:rFonts w:hint="default"/>
        <w:lang w:val="en-US" w:eastAsia="en-US" w:bidi="ar-SA"/>
      </w:rPr>
    </w:lvl>
    <w:lvl w:ilvl="3" w:tplc="3F20081C">
      <w:numFmt w:val="bullet"/>
      <w:lvlText w:val="•"/>
      <w:lvlJc w:val="left"/>
      <w:pPr>
        <w:ind w:left="2704" w:hanging="567"/>
      </w:pPr>
      <w:rPr>
        <w:rFonts w:hint="default"/>
        <w:lang w:val="en-US" w:eastAsia="en-US" w:bidi="ar-SA"/>
      </w:rPr>
    </w:lvl>
    <w:lvl w:ilvl="4" w:tplc="660A2A90">
      <w:numFmt w:val="bullet"/>
      <w:lvlText w:val="•"/>
      <w:lvlJc w:val="left"/>
      <w:pPr>
        <w:ind w:left="3666" w:hanging="567"/>
      </w:pPr>
      <w:rPr>
        <w:rFonts w:hint="default"/>
        <w:lang w:val="en-US" w:eastAsia="en-US" w:bidi="ar-SA"/>
      </w:rPr>
    </w:lvl>
    <w:lvl w:ilvl="5" w:tplc="36BC5596">
      <w:numFmt w:val="bullet"/>
      <w:lvlText w:val="•"/>
      <w:lvlJc w:val="left"/>
      <w:pPr>
        <w:ind w:left="4629" w:hanging="567"/>
      </w:pPr>
      <w:rPr>
        <w:rFonts w:hint="default"/>
        <w:lang w:val="en-US" w:eastAsia="en-US" w:bidi="ar-SA"/>
      </w:rPr>
    </w:lvl>
    <w:lvl w:ilvl="6" w:tplc="BFFEFB28">
      <w:numFmt w:val="bullet"/>
      <w:lvlText w:val="•"/>
      <w:lvlJc w:val="left"/>
      <w:pPr>
        <w:ind w:left="5591" w:hanging="567"/>
      </w:pPr>
      <w:rPr>
        <w:rFonts w:hint="default"/>
        <w:lang w:val="en-US" w:eastAsia="en-US" w:bidi="ar-SA"/>
      </w:rPr>
    </w:lvl>
    <w:lvl w:ilvl="7" w:tplc="D3C81894">
      <w:numFmt w:val="bullet"/>
      <w:lvlText w:val="•"/>
      <w:lvlJc w:val="left"/>
      <w:pPr>
        <w:ind w:left="6553" w:hanging="567"/>
      </w:pPr>
      <w:rPr>
        <w:rFonts w:hint="default"/>
        <w:lang w:val="en-US" w:eastAsia="en-US" w:bidi="ar-SA"/>
      </w:rPr>
    </w:lvl>
    <w:lvl w:ilvl="8" w:tplc="47C854D2">
      <w:numFmt w:val="bullet"/>
      <w:lvlText w:val="•"/>
      <w:lvlJc w:val="left"/>
      <w:pPr>
        <w:ind w:left="7516" w:hanging="567"/>
      </w:pPr>
      <w:rPr>
        <w:rFonts w:hint="default"/>
        <w:lang w:val="en-US" w:eastAsia="en-US" w:bidi="ar-SA"/>
      </w:rPr>
    </w:lvl>
  </w:abstractNum>
  <w:abstractNum w:abstractNumId="5">
    <w:nsid w:val="55277EAB"/>
    <w:multiLevelType w:val="multilevel"/>
    <w:tmpl w:val="74D6C3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F104378"/>
    <w:multiLevelType w:val="multilevel"/>
    <w:tmpl w:val="0C0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FC70B4"/>
    <w:multiLevelType w:val="multilevel"/>
    <w:tmpl w:val="CB1A2B26"/>
    <w:lvl w:ilvl="0">
      <w:start w:val="1"/>
      <w:numFmt w:val="lowerLetter"/>
      <w:lvlText w:val="%1."/>
      <w:lvlJc w:val="left"/>
      <w:pPr>
        <w:tabs>
          <w:tab w:val="num" w:pos="720"/>
        </w:tabs>
        <w:ind w:left="720" w:hanging="360"/>
      </w:pPr>
      <w:rPr>
        <w:sz w:val="20"/>
        <w:szCs w:val="20"/>
      </w:r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5E348E0"/>
    <w:multiLevelType w:val="hybridMultilevel"/>
    <w:tmpl w:val="E76224E6"/>
    <w:lvl w:ilvl="0" w:tplc="40090001">
      <w:start w:val="1"/>
      <w:numFmt w:val="bullet"/>
      <w:lvlText w:val=""/>
      <w:lvlJc w:val="left"/>
      <w:pPr>
        <w:ind w:left="786" w:hanging="567"/>
      </w:pPr>
      <w:rPr>
        <w:rFonts w:ascii="Symbol" w:hAnsi="Symbol" w:hint="default"/>
        <w:w w:val="100"/>
        <w:sz w:val="24"/>
        <w:szCs w:val="24"/>
        <w:lang w:val="en-US" w:eastAsia="en-US" w:bidi="ar-SA"/>
      </w:rPr>
    </w:lvl>
    <w:lvl w:ilvl="1" w:tplc="40090017">
      <w:start w:val="1"/>
      <w:numFmt w:val="lowerLetter"/>
      <w:lvlText w:val="%2)"/>
      <w:lvlJc w:val="left"/>
      <w:pPr>
        <w:ind w:left="1110" w:hanging="360"/>
      </w:pPr>
      <w:rPr>
        <w:rFonts w:hint="default"/>
        <w:spacing w:val="-6"/>
        <w:w w:val="99"/>
        <w:sz w:val="24"/>
        <w:szCs w:val="24"/>
        <w:lang w:val="en-US" w:eastAsia="en-US" w:bidi="ar-SA"/>
      </w:rPr>
    </w:lvl>
    <w:lvl w:ilvl="2" w:tplc="B4DA8506">
      <w:numFmt w:val="bullet"/>
      <w:lvlText w:val="•"/>
      <w:lvlJc w:val="left"/>
      <w:pPr>
        <w:ind w:left="2044" w:hanging="360"/>
      </w:pPr>
      <w:rPr>
        <w:rFonts w:hint="default"/>
        <w:lang w:val="en-US" w:eastAsia="en-US" w:bidi="ar-SA"/>
      </w:rPr>
    </w:lvl>
    <w:lvl w:ilvl="3" w:tplc="A2CE25CA">
      <w:numFmt w:val="bullet"/>
      <w:lvlText w:val="•"/>
      <w:lvlJc w:val="left"/>
      <w:pPr>
        <w:ind w:left="2969" w:hanging="360"/>
      </w:pPr>
      <w:rPr>
        <w:rFonts w:hint="default"/>
        <w:lang w:val="en-US" w:eastAsia="en-US" w:bidi="ar-SA"/>
      </w:rPr>
    </w:lvl>
    <w:lvl w:ilvl="4" w:tplc="0FC68382">
      <w:numFmt w:val="bullet"/>
      <w:lvlText w:val="•"/>
      <w:lvlJc w:val="left"/>
      <w:pPr>
        <w:ind w:left="3893" w:hanging="360"/>
      </w:pPr>
      <w:rPr>
        <w:rFonts w:hint="default"/>
        <w:lang w:val="en-US" w:eastAsia="en-US" w:bidi="ar-SA"/>
      </w:rPr>
    </w:lvl>
    <w:lvl w:ilvl="5" w:tplc="8B2EDFD6">
      <w:numFmt w:val="bullet"/>
      <w:lvlText w:val="•"/>
      <w:lvlJc w:val="left"/>
      <w:pPr>
        <w:ind w:left="4818" w:hanging="360"/>
      </w:pPr>
      <w:rPr>
        <w:rFonts w:hint="default"/>
        <w:lang w:val="en-US" w:eastAsia="en-US" w:bidi="ar-SA"/>
      </w:rPr>
    </w:lvl>
    <w:lvl w:ilvl="6" w:tplc="9CFAB29C">
      <w:numFmt w:val="bullet"/>
      <w:lvlText w:val="•"/>
      <w:lvlJc w:val="left"/>
      <w:pPr>
        <w:ind w:left="5742" w:hanging="360"/>
      </w:pPr>
      <w:rPr>
        <w:rFonts w:hint="default"/>
        <w:lang w:val="en-US" w:eastAsia="en-US" w:bidi="ar-SA"/>
      </w:rPr>
    </w:lvl>
    <w:lvl w:ilvl="7" w:tplc="A6F6A594">
      <w:numFmt w:val="bullet"/>
      <w:lvlText w:val="•"/>
      <w:lvlJc w:val="left"/>
      <w:pPr>
        <w:ind w:left="6667" w:hanging="360"/>
      </w:pPr>
      <w:rPr>
        <w:rFonts w:hint="default"/>
        <w:lang w:val="en-US" w:eastAsia="en-US" w:bidi="ar-SA"/>
      </w:rPr>
    </w:lvl>
    <w:lvl w:ilvl="8" w:tplc="8990D84E">
      <w:numFmt w:val="bullet"/>
      <w:lvlText w:val="•"/>
      <w:lvlJc w:val="left"/>
      <w:pPr>
        <w:ind w:left="7591" w:hanging="360"/>
      </w:pPr>
      <w:rPr>
        <w:rFonts w:hint="default"/>
        <w:lang w:val="en-US" w:eastAsia="en-US" w:bidi="ar-SA"/>
      </w:rPr>
    </w:lvl>
  </w:abstractNum>
  <w:num w:numId="1">
    <w:abstractNumId w:val="2"/>
  </w:num>
  <w:num w:numId="2">
    <w:abstractNumId w:val="5"/>
  </w:num>
  <w:num w:numId="3">
    <w:abstractNumId w:val="7"/>
  </w:num>
  <w:num w:numId="4">
    <w:abstractNumId w:val="1"/>
  </w:num>
  <w:num w:numId="5">
    <w:abstractNumId w:val="0"/>
  </w:num>
  <w:num w:numId="6">
    <w:abstractNumId w:val="6"/>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634E"/>
    <w:rsid w:val="00012F67"/>
    <w:rsid w:val="000243EC"/>
    <w:rsid w:val="00074D3D"/>
    <w:rsid w:val="00080B9D"/>
    <w:rsid w:val="000A0C4E"/>
    <w:rsid w:val="000A4250"/>
    <w:rsid w:val="000C6F34"/>
    <w:rsid w:val="001029B3"/>
    <w:rsid w:val="0014550A"/>
    <w:rsid w:val="001C31B3"/>
    <w:rsid w:val="001E6FE4"/>
    <w:rsid w:val="001F2FEC"/>
    <w:rsid w:val="001F7FE6"/>
    <w:rsid w:val="00225DD3"/>
    <w:rsid w:val="00236EAD"/>
    <w:rsid w:val="002377FC"/>
    <w:rsid w:val="002A7FCE"/>
    <w:rsid w:val="002C0C34"/>
    <w:rsid w:val="003334BA"/>
    <w:rsid w:val="003363D0"/>
    <w:rsid w:val="00344CFD"/>
    <w:rsid w:val="00350AA0"/>
    <w:rsid w:val="00360B1F"/>
    <w:rsid w:val="003862D4"/>
    <w:rsid w:val="00392F5B"/>
    <w:rsid w:val="003D25A4"/>
    <w:rsid w:val="003F3D79"/>
    <w:rsid w:val="004529B9"/>
    <w:rsid w:val="00461B9E"/>
    <w:rsid w:val="0046263B"/>
    <w:rsid w:val="004829F7"/>
    <w:rsid w:val="004B4ADF"/>
    <w:rsid w:val="004D4F79"/>
    <w:rsid w:val="004F48AD"/>
    <w:rsid w:val="00500EFA"/>
    <w:rsid w:val="00505684"/>
    <w:rsid w:val="005269C3"/>
    <w:rsid w:val="00552A2F"/>
    <w:rsid w:val="005661A7"/>
    <w:rsid w:val="00597538"/>
    <w:rsid w:val="00601909"/>
    <w:rsid w:val="00647828"/>
    <w:rsid w:val="00650179"/>
    <w:rsid w:val="006702B5"/>
    <w:rsid w:val="0071668E"/>
    <w:rsid w:val="00733B80"/>
    <w:rsid w:val="007B4456"/>
    <w:rsid w:val="007D634E"/>
    <w:rsid w:val="007E66BB"/>
    <w:rsid w:val="007F2644"/>
    <w:rsid w:val="00831F0B"/>
    <w:rsid w:val="00846DEA"/>
    <w:rsid w:val="00886B71"/>
    <w:rsid w:val="008A4E77"/>
    <w:rsid w:val="008B1926"/>
    <w:rsid w:val="008E2E45"/>
    <w:rsid w:val="008E447C"/>
    <w:rsid w:val="009478D1"/>
    <w:rsid w:val="009754D5"/>
    <w:rsid w:val="009921E6"/>
    <w:rsid w:val="009A59A9"/>
    <w:rsid w:val="009B7788"/>
    <w:rsid w:val="009F4187"/>
    <w:rsid w:val="00A444A4"/>
    <w:rsid w:val="00A62ACA"/>
    <w:rsid w:val="00A728F1"/>
    <w:rsid w:val="00A92399"/>
    <w:rsid w:val="00AB0B58"/>
    <w:rsid w:val="00AE48E4"/>
    <w:rsid w:val="00B63660"/>
    <w:rsid w:val="00BA6AAD"/>
    <w:rsid w:val="00BC6E97"/>
    <w:rsid w:val="00BE526B"/>
    <w:rsid w:val="00C24D4A"/>
    <w:rsid w:val="00C71EDE"/>
    <w:rsid w:val="00CB0586"/>
    <w:rsid w:val="00CD4EBF"/>
    <w:rsid w:val="00CE3D11"/>
    <w:rsid w:val="00D30EFF"/>
    <w:rsid w:val="00D318E2"/>
    <w:rsid w:val="00DF3C09"/>
    <w:rsid w:val="00E62F86"/>
    <w:rsid w:val="00EB01A2"/>
    <w:rsid w:val="00EB15FF"/>
    <w:rsid w:val="00F1274A"/>
    <w:rsid w:val="00F15913"/>
    <w:rsid w:val="00F306D8"/>
    <w:rsid w:val="00FC4D4E"/>
    <w:rsid w:val="00FC7B80"/>
    <w:rsid w:val="00FD2B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8789"/>
  <w15:docId w15:val="{AD984F75-A3A7-45C9-9983-3219DCB4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56"/>
  </w:style>
  <w:style w:type="paragraph" w:styleId="Heading1">
    <w:name w:val="heading 1"/>
    <w:basedOn w:val="Normal"/>
    <w:link w:val="Heading1Char"/>
    <w:uiPriority w:val="9"/>
    <w:qFormat/>
    <w:rsid w:val="00A62A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4">
    <w:name w:val="heading 4"/>
    <w:basedOn w:val="Normal"/>
    <w:link w:val="Heading4Char"/>
    <w:uiPriority w:val="9"/>
    <w:qFormat/>
    <w:rsid w:val="00A62AC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ACA"/>
    <w:rPr>
      <w:rFonts w:ascii="Times New Roman" w:eastAsia="Times New Roman" w:hAnsi="Times New Roman" w:cs="Times New Roman"/>
      <w:b/>
      <w:bCs/>
      <w:kern w:val="36"/>
      <w:sz w:val="48"/>
      <w:szCs w:val="48"/>
      <w:lang w:eastAsia="en-IN"/>
    </w:rPr>
  </w:style>
  <w:style w:type="character" w:customStyle="1" w:styleId="Heading4Char">
    <w:name w:val="Heading 4 Char"/>
    <w:basedOn w:val="DefaultParagraphFont"/>
    <w:link w:val="Heading4"/>
    <w:uiPriority w:val="9"/>
    <w:rsid w:val="00A62ACA"/>
    <w:rPr>
      <w:rFonts w:ascii="Times New Roman" w:eastAsia="Times New Roman" w:hAnsi="Times New Roman" w:cs="Times New Roman"/>
      <w:b/>
      <w:bCs/>
      <w:sz w:val="24"/>
      <w:szCs w:val="24"/>
      <w:lang w:eastAsia="en-IN"/>
    </w:rPr>
  </w:style>
  <w:style w:type="character" w:styleId="Hyperlink">
    <w:name w:val="Hyperlink"/>
    <w:aliases w:val="hyperlink"/>
    <w:basedOn w:val="DefaultParagraphFont"/>
    <w:uiPriority w:val="99"/>
    <w:unhideWhenUsed/>
    <w:rsid w:val="00A62ACA"/>
    <w:rPr>
      <w:color w:val="0000FF"/>
      <w:u w:val="single"/>
    </w:rPr>
  </w:style>
  <w:style w:type="paragraph" w:styleId="NormalWeb">
    <w:name w:val="Normal (Web)"/>
    <w:basedOn w:val="Normal"/>
    <w:uiPriority w:val="99"/>
    <w:semiHidden/>
    <w:unhideWhenUsed/>
    <w:rsid w:val="00A62AC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62ACA"/>
    <w:rPr>
      <w:b/>
      <w:bCs/>
    </w:rPr>
  </w:style>
  <w:style w:type="paragraph" w:styleId="Header">
    <w:name w:val="header"/>
    <w:aliases w:val="Bold Header,*Header,Chapter Name,hd,Header@,Header10 UL,Project Name,Char1 Char Char Char Char,Char1 Char Char Char1,Char1 Char Char Char"/>
    <w:basedOn w:val="Normal"/>
    <w:link w:val="HeaderChar"/>
    <w:uiPriority w:val="99"/>
    <w:unhideWhenUsed/>
    <w:qFormat/>
    <w:rsid w:val="00F1274A"/>
    <w:pPr>
      <w:tabs>
        <w:tab w:val="center" w:pos="4513"/>
        <w:tab w:val="right" w:pos="9026"/>
      </w:tabs>
      <w:spacing w:after="0" w:line="240" w:lineRule="auto"/>
    </w:pPr>
  </w:style>
  <w:style w:type="character" w:customStyle="1" w:styleId="HeaderChar">
    <w:name w:val="Header Char"/>
    <w:aliases w:val="Bold Header Char,*Header Char,Chapter Name Char,hd Char,Header@ Char,Header10 UL Char,Project Name Char,Char1 Char Char Char Char Char,Char1 Char Char Char1 Char,Char1 Char Char Char Char1"/>
    <w:basedOn w:val="DefaultParagraphFont"/>
    <w:link w:val="Header"/>
    <w:uiPriority w:val="99"/>
    <w:rsid w:val="00F1274A"/>
  </w:style>
  <w:style w:type="paragraph" w:styleId="Footer">
    <w:name w:val="footer"/>
    <w:basedOn w:val="Normal"/>
    <w:link w:val="FooterChar"/>
    <w:uiPriority w:val="99"/>
    <w:unhideWhenUsed/>
    <w:rsid w:val="00F12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74A"/>
  </w:style>
  <w:style w:type="paragraph" w:styleId="BodyText">
    <w:name w:val="Body Text"/>
    <w:basedOn w:val="Normal"/>
    <w:link w:val="BodyTextChar"/>
    <w:uiPriority w:val="1"/>
    <w:qFormat/>
    <w:rsid w:val="001F7FE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F7FE6"/>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F7FE6"/>
    <w:pPr>
      <w:widowControl w:val="0"/>
      <w:autoSpaceDE w:val="0"/>
      <w:autoSpaceDN w:val="0"/>
      <w:spacing w:after="0" w:line="240" w:lineRule="auto"/>
      <w:ind w:left="786" w:hanging="567"/>
    </w:pPr>
    <w:rPr>
      <w:rFonts w:ascii="Times New Roman" w:eastAsia="Times New Roman" w:hAnsi="Times New Roman" w:cs="Times New Roman"/>
      <w:lang w:val="en-US"/>
    </w:rPr>
  </w:style>
  <w:style w:type="paragraph" w:customStyle="1" w:styleId="NoSpacing1">
    <w:name w:val="No Spacing1"/>
    <w:uiPriority w:val="1"/>
    <w:qFormat/>
    <w:rsid w:val="00392F5B"/>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EB0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1A2"/>
    <w:rPr>
      <w:rFonts w:ascii="Tahoma" w:hAnsi="Tahoma" w:cs="Tahoma"/>
      <w:sz w:val="16"/>
      <w:szCs w:val="16"/>
    </w:rPr>
  </w:style>
  <w:style w:type="character" w:customStyle="1" w:styleId="UnresolvedMention">
    <w:name w:val="Unresolved Mention"/>
    <w:basedOn w:val="DefaultParagraphFont"/>
    <w:uiPriority w:val="99"/>
    <w:semiHidden/>
    <w:unhideWhenUsed/>
    <w:rsid w:val="00333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8340">
      <w:bodyDiv w:val="1"/>
      <w:marLeft w:val="0"/>
      <w:marRight w:val="0"/>
      <w:marTop w:val="0"/>
      <w:marBottom w:val="0"/>
      <w:divBdr>
        <w:top w:val="none" w:sz="0" w:space="0" w:color="auto"/>
        <w:left w:val="none" w:sz="0" w:space="0" w:color="auto"/>
        <w:bottom w:val="none" w:sz="0" w:space="0" w:color="auto"/>
        <w:right w:val="none" w:sz="0" w:space="0" w:color="auto"/>
      </w:divBdr>
      <w:divsChild>
        <w:div w:id="1385254823">
          <w:marLeft w:val="0"/>
          <w:marRight w:val="0"/>
          <w:marTop w:val="0"/>
          <w:marBottom w:val="0"/>
          <w:divBdr>
            <w:top w:val="none" w:sz="0" w:space="0" w:color="auto"/>
            <w:left w:val="none" w:sz="0" w:space="0" w:color="auto"/>
            <w:bottom w:val="none" w:sz="0" w:space="0" w:color="auto"/>
            <w:right w:val="none" w:sz="0" w:space="0" w:color="auto"/>
          </w:divBdr>
        </w:div>
        <w:div w:id="932083524">
          <w:marLeft w:val="0"/>
          <w:marRight w:val="0"/>
          <w:marTop w:val="0"/>
          <w:marBottom w:val="0"/>
          <w:divBdr>
            <w:top w:val="none" w:sz="0" w:space="0" w:color="auto"/>
            <w:left w:val="none" w:sz="0" w:space="0" w:color="auto"/>
            <w:bottom w:val="none" w:sz="0" w:space="0" w:color="auto"/>
            <w:right w:val="none" w:sz="0" w:space="0" w:color="auto"/>
          </w:divBdr>
          <w:divsChild>
            <w:div w:id="2102792064">
              <w:marLeft w:val="-225"/>
              <w:marRight w:val="-225"/>
              <w:marTop w:val="0"/>
              <w:marBottom w:val="0"/>
              <w:divBdr>
                <w:top w:val="none" w:sz="0" w:space="0" w:color="auto"/>
                <w:left w:val="none" w:sz="0" w:space="0" w:color="auto"/>
                <w:bottom w:val="none" w:sz="0" w:space="0" w:color="auto"/>
                <w:right w:val="none" w:sz="0" w:space="0" w:color="auto"/>
              </w:divBdr>
              <w:divsChild>
                <w:div w:id="7165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9470">
      <w:bodyDiv w:val="1"/>
      <w:marLeft w:val="0"/>
      <w:marRight w:val="0"/>
      <w:marTop w:val="0"/>
      <w:marBottom w:val="0"/>
      <w:divBdr>
        <w:top w:val="none" w:sz="0" w:space="0" w:color="auto"/>
        <w:left w:val="none" w:sz="0" w:space="0" w:color="auto"/>
        <w:bottom w:val="none" w:sz="0" w:space="0" w:color="auto"/>
        <w:right w:val="none" w:sz="0" w:space="0" w:color="auto"/>
      </w:divBdr>
    </w:div>
    <w:div w:id="1326125029">
      <w:bodyDiv w:val="1"/>
      <w:marLeft w:val="0"/>
      <w:marRight w:val="0"/>
      <w:marTop w:val="0"/>
      <w:marBottom w:val="0"/>
      <w:divBdr>
        <w:top w:val="none" w:sz="0" w:space="0" w:color="auto"/>
        <w:left w:val="none" w:sz="0" w:space="0" w:color="auto"/>
        <w:bottom w:val="none" w:sz="0" w:space="0" w:color="auto"/>
        <w:right w:val="none" w:sz="0" w:space="0" w:color="auto"/>
      </w:divBdr>
    </w:div>
    <w:div w:id="17179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ikakajipolym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Sohan kumawat</dc:creator>
  <cp:keywords/>
  <dc:description/>
  <cp:lastModifiedBy>baikakaji</cp:lastModifiedBy>
  <cp:revision>110</cp:revision>
  <dcterms:created xsi:type="dcterms:W3CDTF">2021-05-08T04:47:00Z</dcterms:created>
  <dcterms:modified xsi:type="dcterms:W3CDTF">2025-05-27T05:43:00Z</dcterms:modified>
</cp:coreProperties>
</file>